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15C" w:rsidRPr="00514109" w:rsidRDefault="00146292" w:rsidP="00067EC5">
      <w:pPr>
        <w:pStyle w:val="CoverOutcomeHeadline"/>
      </w:pPr>
      <w:bookmarkStart w:id="0" w:name="_GoBack"/>
      <w:bookmarkEnd w:id="0"/>
      <w:r>
        <w:t xml:space="preserve">Extractive </w:t>
      </w:r>
      <w:r w:rsidR="00E52259">
        <w:t>R</w:t>
      </w:r>
      <w:r>
        <w:t>esources in Victoria</w:t>
      </w:r>
      <w:r w:rsidR="00E250D1">
        <w:t>:</w:t>
      </w:r>
    </w:p>
    <w:p w:rsidR="00E27E5B" w:rsidRPr="000619A2" w:rsidRDefault="001A48C1" w:rsidP="00F323DC">
      <w:pPr>
        <w:pStyle w:val="Covertitle"/>
        <w:framePr w:wrap="notBeside"/>
      </w:pPr>
      <w:r>
        <w:t>Department of Economic Development, Jobs, Transport and Resources</w:t>
      </w:r>
    </w:p>
    <w:p w:rsidR="00E27E5B" w:rsidRPr="000619A2" w:rsidRDefault="00C1676E" w:rsidP="001A48C1">
      <w:pPr>
        <w:pStyle w:val="Coversubtitle"/>
        <w:framePr w:wrap="notBeside"/>
      </w:pPr>
      <w:r>
        <w:t>Demand and supply</w:t>
      </w:r>
      <w:r w:rsidR="001A48C1">
        <w:t xml:space="preserve"> </w:t>
      </w:r>
      <w:r w:rsidR="00E250D1">
        <w:t xml:space="preserve">study </w:t>
      </w:r>
      <w:r w:rsidR="001A48C1">
        <w:t>of extractive resources in Victoria</w:t>
      </w:r>
      <w:r w:rsidR="00E250D1">
        <w:t>, 2015-2050</w:t>
      </w:r>
    </w:p>
    <w:p w:rsidR="00E27E5B" w:rsidRPr="000619A2" w:rsidRDefault="00CC6861" w:rsidP="007625E6">
      <w:pPr>
        <w:pStyle w:val="CoverDate"/>
        <w:framePr w:wrap="notBeside"/>
      </w:pPr>
      <w:r>
        <w:t xml:space="preserve">May </w:t>
      </w:r>
      <w:r w:rsidR="001A48C1">
        <w:t>2016</w:t>
      </w:r>
    </w:p>
    <w:p w:rsidR="00E27E5B" w:rsidRPr="007625E6" w:rsidRDefault="00E27E5B" w:rsidP="007625E6">
      <w:pPr>
        <w:pStyle w:val="Coverpulloutframe"/>
        <w:framePr w:wrap="notBeside"/>
      </w:pPr>
    </w:p>
    <w:p w:rsidR="00CD17C4" w:rsidRDefault="00E52259" w:rsidP="009E5218">
      <w:pPr>
        <w:pStyle w:val="CoverOutcomeSubtitle"/>
        <w:rPr>
          <w:sz w:val="84"/>
          <w:szCs w:val="84"/>
        </w:rPr>
      </w:pPr>
      <w:r>
        <w:rPr>
          <w:sz w:val="84"/>
          <w:szCs w:val="84"/>
        </w:rPr>
        <w:t>D</w:t>
      </w:r>
      <w:r w:rsidR="00146292" w:rsidRPr="00C75FC4">
        <w:rPr>
          <w:sz w:val="84"/>
          <w:szCs w:val="84"/>
        </w:rPr>
        <w:t>emand</w:t>
      </w:r>
      <w:r w:rsidR="00C1676E">
        <w:rPr>
          <w:sz w:val="84"/>
          <w:szCs w:val="84"/>
        </w:rPr>
        <w:t xml:space="preserve"> and Supply</w:t>
      </w:r>
      <w:r w:rsidR="00146292" w:rsidRPr="00C75FC4">
        <w:rPr>
          <w:sz w:val="84"/>
          <w:szCs w:val="84"/>
        </w:rPr>
        <w:t xml:space="preserve"> </w:t>
      </w:r>
      <w:r>
        <w:rPr>
          <w:sz w:val="84"/>
          <w:szCs w:val="84"/>
        </w:rPr>
        <w:t>S</w:t>
      </w:r>
      <w:r w:rsidR="00E250D1">
        <w:rPr>
          <w:sz w:val="84"/>
          <w:szCs w:val="84"/>
        </w:rPr>
        <w:t>tudy 2015-2050</w:t>
      </w:r>
      <w:r w:rsidR="00CC6861">
        <w:rPr>
          <w:sz w:val="84"/>
          <w:szCs w:val="84"/>
        </w:rPr>
        <w:br/>
      </w:r>
      <w:r w:rsidR="00CC6861">
        <w:rPr>
          <w:sz w:val="84"/>
          <w:szCs w:val="84"/>
        </w:rPr>
        <w:br/>
      </w:r>
      <w:r w:rsidR="00C307D3">
        <w:rPr>
          <w:sz w:val="84"/>
          <w:szCs w:val="84"/>
        </w:rPr>
        <w:t>Final Report</w:t>
      </w:r>
    </w:p>
    <w:p w:rsidR="00A8749E" w:rsidRPr="00C75FC4" w:rsidRDefault="00A8749E" w:rsidP="009E5218">
      <w:pPr>
        <w:pStyle w:val="CoverOutcomeSubtitle"/>
        <w:rPr>
          <w:sz w:val="84"/>
          <w:szCs w:val="84"/>
        </w:rPr>
      </w:pPr>
    </w:p>
    <w:p w:rsidR="009B3E02" w:rsidRPr="00514109" w:rsidRDefault="009B3E02" w:rsidP="00275248">
      <w:pPr>
        <w:pStyle w:val="PwCNormal"/>
      </w:pPr>
    </w:p>
    <w:p w:rsidR="00695B02" w:rsidRPr="00514109" w:rsidRDefault="00695B02" w:rsidP="00695B02">
      <w:pPr>
        <w:pStyle w:val="PwCNormal"/>
        <w:sectPr w:rsidR="00695B02" w:rsidRPr="00514109" w:rsidSect="001A7D05">
          <w:headerReference w:type="even" r:id="rId8"/>
          <w:headerReference w:type="default" r:id="rId9"/>
          <w:headerReference w:type="first" r:id="rId10"/>
          <w:pgSz w:w="11907" w:h="16840" w:code="9"/>
          <w:pgMar w:top="2552" w:right="1021" w:bottom="1134" w:left="3317" w:header="397" w:footer="567" w:gutter="227"/>
          <w:pgNumType w:start="1"/>
          <w:cols w:space="708"/>
          <w:titlePg/>
          <w:docGrid w:linePitch="360"/>
        </w:sectPr>
      </w:pPr>
    </w:p>
    <w:p w:rsidR="00C270FB" w:rsidRDefault="008561EE" w:rsidP="00C270FB">
      <w:pPr>
        <w:pStyle w:val="PrefaceTitle"/>
      </w:pPr>
      <w:bookmarkStart w:id="1" w:name="_Toc445905909"/>
      <w:bookmarkStart w:id="2" w:name="_Toc445906106"/>
      <w:bookmarkStart w:id="3" w:name="_Toc445973750"/>
      <w:bookmarkStart w:id="4" w:name="_Toc447628739"/>
      <w:bookmarkStart w:id="5" w:name="_Toc447630209"/>
      <w:bookmarkStart w:id="6" w:name="_Toc448153174"/>
      <w:bookmarkStart w:id="7" w:name="_Toc448917109"/>
      <w:bookmarkStart w:id="8" w:name="_Toc448924816"/>
      <w:bookmarkStart w:id="9" w:name="_Toc448925121"/>
      <w:bookmarkStart w:id="10" w:name="_Toc448935460"/>
      <w:bookmarkStart w:id="11" w:name="_Toc448936079"/>
      <w:bookmarkStart w:id="12" w:name="_Toc449603848"/>
      <w:bookmarkStart w:id="13" w:name="_Toc449603914"/>
      <w:bookmarkStart w:id="14" w:name="_Toc449949923"/>
      <w:bookmarkStart w:id="15" w:name="_Toc449960248"/>
      <w:bookmarkStart w:id="16" w:name="_Toc451239527"/>
      <w:bookmarkStart w:id="17" w:name="ExecSum"/>
      <w:r>
        <w:lastRenderedPageBreak/>
        <w:t>Disclaimer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250D1" w:rsidRDefault="00E250D1" w:rsidP="00C756D0">
      <w:pPr>
        <w:pStyle w:val="PwCNormal"/>
      </w:pPr>
      <w:r>
        <w:t>This report is not intended to be used by anyone other than Victorian Department of Economic Development, Jobs, Transport and Resources (DEDJTR).</w:t>
      </w:r>
    </w:p>
    <w:p w:rsidR="00E250D1" w:rsidRPr="00785312" w:rsidRDefault="00E250D1" w:rsidP="00E060CE">
      <w:pPr>
        <w:pStyle w:val="PwCNormal"/>
      </w:pPr>
      <w:r>
        <w:t xml:space="preserve">We prepared this report solely for DEDJTR’s use and benefit in accordance with and for the purpose set out in </w:t>
      </w:r>
      <w:r w:rsidRPr="00785312">
        <w:t xml:space="preserve">the Terms of Reference and the Terms and Conditions contained in the Consultant Agreement between </w:t>
      </w:r>
      <w:r>
        <w:t>DEDJTR</w:t>
      </w:r>
      <w:r w:rsidRPr="00785312">
        <w:t xml:space="preserve"> and PwC. </w:t>
      </w:r>
    </w:p>
    <w:p w:rsidR="00E250D1" w:rsidRPr="00824472" w:rsidRDefault="00E250D1" w:rsidP="00E060CE">
      <w:pPr>
        <w:pStyle w:val="PwCNormal"/>
      </w:pPr>
      <w:r w:rsidRPr="00785312">
        <w:t>The information, statements, statistic</w:t>
      </w:r>
      <w:r>
        <w:t>s material and commentary (together the ‘Information’</w:t>
      </w:r>
      <w:r w:rsidRPr="00785312">
        <w:t xml:space="preserve">) contained in this report have been prepared by PwC from publicly available material and </w:t>
      </w:r>
      <w:r>
        <w:t xml:space="preserve">materials provided from, and </w:t>
      </w:r>
      <w:r w:rsidRPr="00785312">
        <w:t>discussions held with</w:t>
      </w:r>
      <w:r>
        <w:t>,</w:t>
      </w:r>
      <w:r w:rsidRPr="00785312">
        <w:t xml:space="preserve"> </w:t>
      </w:r>
      <w:r>
        <w:t>DEDJTR and a range of stakeholders</w:t>
      </w:r>
      <w:r w:rsidRPr="00785312">
        <w:t xml:space="preserve">. </w:t>
      </w:r>
      <w:r>
        <w:t xml:space="preserve">PwC has relied upon the accuracy, currency and completeness of the Information provided to it by DEDJTR and consulted stakeholders and takes no responsibility for the accuracy, currency, reliability or correctness of the Information and acknowledges that changes in circumstances after the time of publication may impact on the accuracy of the Information. </w:t>
      </w:r>
    </w:p>
    <w:p w:rsidR="00E250D1" w:rsidRPr="00124BC9" w:rsidRDefault="00E250D1" w:rsidP="00E060CE">
      <w:pPr>
        <w:pStyle w:val="PwCNormal"/>
        <w:rPr>
          <w:iCs/>
        </w:rPr>
      </w:pPr>
      <w:r>
        <w:t>The Report may be disclosed by DEDJTR to the Extractive Industries Taskforce, however w</w:t>
      </w:r>
      <w:r w:rsidRPr="00124BC9">
        <w:rPr>
          <w:iCs/>
        </w:rPr>
        <w:t>e accept no responsibility, duty or liability:</w:t>
      </w:r>
    </w:p>
    <w:p w:rsidR="00E250D1" w:rsidRPr="00731061" w:rsidRDefault="00E250D1" w:rsidP="00E060CE">
      <w:pPr>
        <w:pStyle w:val="ListBullet"/>
      </w:pPr>
      <w:r w:rsidRPr="00124BC9">
        <w:t xml:space="preserve">to anyone other than </w:t>
      </w:r>
      <w:r>
        <w:t>DEDJTR</w:t>
      </w:r>
      <w:r w:rsidRPr="00824472">
        <w:t xml:space="preserve"> </w:t>
      </w:r>
      <w:r w:rsidRPr="00731061">
        <w:t>in connection with this report</w:t>
      </w:r>
    </w:p>
    <w:p w:rsidR="00E250D1" w:rsidRPr="00731061" w:rsidRDefault="00E250D1" w:rsidP="00E060CE">
      <w:pPr>
        <w:pStyle w:val="ListBullet"/>
      </w:pPr>
      <w:r w:rsidRPr="00731061">
        <w:t xml:space="preserve">to </w:t>
      </w:r>
      <w:r>
        <w:t>DEDJTR</w:t>
      </w:r>
      <w:r w:rsidRPr="00731061">
        <w:t xml:space="preserve"> for the consequences or using or relying on it for a purpose other than that referred to above. </w:t>
      </w:r>
    </w:p>
    <w:p w:rsidR="00E250D1" w:rsidRPr="00124BC9" w:rsidRDefault="00E250D1" w:rsidP="00E250D1">
      <w:pPr>
        <w:pStyle w:val="PwCNormal"/>
        <w:rPr>
          <w:iCs/>
        </w:rPr>
      </w:pPr>
      <w:r w:rsidRPr="00731061">
        <w:rPr>
          <w:iCs/>
        </w:rPr>
        <w:t xml:space="preserve">We make no representation concerning the appropriateness of this report for anyone other than </w:t>
      </w:r>
      <w:r>
        <w:t>DEDJTR</w:t>
      </w:r>
      <w:r w:rsidRPr="00731061">
        <w:rPr>
          <w:iCs/>
        </w:rPr>
        <w:t xml:space="preserve">.  If anyone other than </w:t>
      </w:r>
      <w:r>
        <w:t>DEDJTR</w:t>
      </w:r>
      <w:r w:rsidRPr="00824472">
        <w:rPr>
          <w:iCs/>
        </w:rPr>
        <w:t xml:space="preserve"> </w:t>
      </w:r>
      <w:r w:rsidRPr="00124BC9">
        <w:rPr>
          <w:iCs/>
        </w:rPr>
        <w:t>chooses to use or rely on it they do so at their own risk.</w:t>
      </w:r>
    </w:p>
    <w:p w:rsidR="00E250D1" w:rsidRPr="00124BC9" w:rsidRDefault="00E250D1" w:rsidP="00E250D1">
      <w:pPr>
        <w:pStyle w:val="PwCNormal"/>
        <w:rPr>
          <w:iCs/>
        </w:rPr>
      </w:pPr>
      <w:r w:rsidRPr="00124BC9">
        <w:rPr>
          <w:iCs/>
        </w:rPr>
        <w:t>This disclaimer applies:</w:t>
      </w:r>
    </w:p>
    <w:p w:rsidR="00E250D1" w:rsidRPr="00124BC9" w:rsidRDefault="00E250D1" w:rsidP="00E060CE">
      <w:pPr>
        <w:pStyle w:val="ListBullet"/>
      </w:pPr>
      <w:r w:rsidRPr="00124BC9">
        <w:t>to the maximum extent permitted by law and, without limitation, to liability arising in negligence or under statute; and</w:t>
      </w:r>
    </w:p>
    <w:p w:rsidR="00E250D1" w:rsidRPr="00785312" w:rsidRDefault="00E250D1" w:rsidP="00E060CE">
      <w:pPr>
        <w:pStyle w:val="ListBullet"/>
      </w:pPr>
      <w:r w:rsidRPr="00124BC9">
        <w:t xml:space="preserve">even if we consent to anyone other than </w:t>
      </w:r>
      <w:r>
        <w:t>DEDJTR</w:t>
      </w:r>
      <w:r w:rsidRPr="00124BC9">
        <w:t xml:space="preserve"> receiving or using this report</w:t>
      </w:r>
      <w:r w:rsidRPr="00824472">
        <w:t xml:space="preserve">. </w:t>
      </w:r>
    </w:p>
    <w:p w:rsidR="008561EE" w:rsidRDefault="00E250D1" w:rsidP="008561EE">
      <w:pPr>
        <w:pStyle w:val="PwCNormal"/>
      </w:pPr>
      <w:r>
        <w:t>Liability limited by a scheme approved under Professional Standards legislation.</w:t>
      </w:r>
    </w:p>
    <w:p w:rsidR="0068395B" w:rsidRPr="008561EE" w:rsidRDefault="0068395B" w:rsidP="0068395B">
      <w:pPr>
        <w:pStyle w:val="PrefaceTitle"/>
      </w:pPr>
      <w:bookmarkStart w:id="18" w:name="_Toc451239528"/>
      <w:bookmarkStart w:id="19" w:name="_Toc448917111"/>
      <w:bookmarkStart w:id="20" w:name="_Toc448924818"/>
      <w:bookmarkStart w:id="21" w:name="_Toc448925123"/>
      <w:bookmarkStart w:id="22" w:name="_Toc448935462"/>
      <w:bookmarkStart w:id="23" w:name="_Toc448936081"/>
      <w:bookmarkStart w:id="24" w:name="_Toc449603850"/>
      <w:bookmarkStart w:id="25" w:name="_Toc449603916"/>
      <w:bookmarkStart w:id="26" w:name="_Toc449949925"/>
      <w:bookmarkStart w:id="27" w:name="_Toc449960250"/>
      <w:r>
        <w:lastRenderedPageBreak/>
        <w:t>Executive Summary</w:t>
      </w:r>
      <w:bookmarkEnd w:id="18"/>
    </w:p>
    <w:p w:rsidR="0068395B" w:rsidRPr="007037A7" w:rsidRDefault="0068395B" w:rsidP="0068395B">
      <w:pPr>
        <w:pStyle w:val="PwCNormal"/>
        <w:rPr>
          <w:rFonts w:asciiTheme="majorHAnsi" w:hAnsiTheme="majorHAnsi"/>
          <w:b/>
          <w:i/>
          <w:color w:val="A32020" w:themeColor="text2"/>
          <w:sz w:val="28"/>
          <w:szCs w:val="24"/>
        </w:rPr>
      </w:pPr>
      <w:r w:rsidRPr="007037A7">
        <w:rPr>
          <w:rFonts w:asciiTheme="majorHAnsi" w:hAnsiTheme="majorHAnsi"/>
          <w:b/>
          <w:i/>
          <w:color w:val="A32020" w:themeColor="text2"/>
          <w:sz w:val="28"/>
          <w:szCs w:val="24"/>
        </w:rPr>
        <w:t>Introduction</w:t>
      </w:r>
    </w:p>
    <w:p w:rsidR="0068395B" w:rsidRDefault="0068395B" w:rsidP="0068395B">
      <w:pPr>
        <w:pStyle w:val="PwCNormal"/>
        <w:rPr>
          <w:snapToGrid/>
          <w:lang w:eastAsia="en-AU"/>
        </w:rPr>
      </w:pPr>
      <w:r w:rsidRPr="0068395B">
        <w:rPr>
          <w:snapToGrid/>
          <w:lang w:eastAsia="en-AU"/>
        </w:rPr>
        <w:t>The extractive resources sector in Victoria is a vital part of the construction of public infrastructure, including roads, railways and bridges as well as commercial and residential buildings. This construction is supported by extractives products such as concrete, cement, bricks and road paving. There are some 485 quarries across Victoria producing around 40 million tonnes annually of stone, limestone, gypsum, sand and gravel. The value of production from quarries at the ‘quarry gate’ is estimated to be around $676 million per year.</w:t>
      </w:r>
      <w:r>
        <w:rPr>
          <w:rStyle w:val="FootnoteReference"/>
          <w:snapToGrid/>
          <w:lang w:eastAsia="en-AU"/>
        </w:rPr>
        <w:footnoteReference w:id="2"/>
      </w:r>
    </w:p>
    <w:p w:rsidR="0068395B" w:rsidRDefault="0068395B" w:rsidP="0068395B">
      <w:pPr>
        <w:pStyle w:val="PwCNormal"/>
        <w:rPr>
          <w:snapToGrid/>
          <w:lang w:eastAsia="en-AU"/>
        </w:rPr>
      </w:pPr>
      <w:r>
        <w:rPr>
          <w:snapToGrid/>
          <w:lang w:eastAsia="en-AU"/>
        </w:rPr>
        <w:t>However, t</w:t>
      </w:r>
      <w:r w:rsidRPr="00D24F6B">
        <w:rPr>
          <w:snapToGrid/>
          <w:lang w:eastAsia="en-AU"/>
        </w:rPr>
        <w:t xml:space="preserve">he </w:t>
      </w:r>
      <w:r>
        <w:rPr>
          <w:snapToGrid/>
          <w:lang w:eastAsia="en-AU"/>
        </w:rPr>
        <w:t xml:space="preserve">building and construction </w:t>
      </w:r>
      <w:r w:rsidRPr="00D24F6B">
        <w:rPr>
          <w:snapToGrid/>
          <w:lang w:eastAsia="en-AU"/>
        </w:rPr>
        <w:t xml:space="preserve">sector faces </w:t>
      </w:r>
      <w:r>
        <w:rPr>
          <w:snapToGrid/>
          <w:lang w:eastAsia="en-AU"/>
        </w:rPr>
        <w:t xml:space="preserve">a range of </w:t>
      </w:r>
      <w:r w:rsidRPr="00D24F6B">
        <w:rPr>
          <w:snapToGrid/>
          <w:lang w:eastAsia="en-AU"/>
        </w:rPr>
        <w:t xml:space="preserve">challenges in maintaining access to </w:t>
      </w:r>
      <w:r>
        <w:rPr>
          <w:snapToGrid/>
          <w:lang w:eastAsia="en-AU"/>
        </w:rPr>
        <w:t xml:space="preserve">the supply </w:t>
      </w:r>
      <w:r w:rsidRPr="00D24F6B">
        <w:rPr>
          <w:snapToGrid/>
          <w:lang w:eastAsia="en-AU"/>
        </w:rPr>
        <w:t xml:space="preserve">of quality extractive resources, </w:t>
      </w:r>
      <w:r>
        <w:rPr>
          <w:snapToGrid/>
          <w:lang w:eastAsia="en-AU"/>
        </w:rPr>
        <w:t>in particular</w:t>
      </w:r>
      <w:r w:rsidRPr="00D24F6B">
        <w:rPr>
          <w:snapToGrid/>
          <w:lang w:eastAsia="en-AU"/>
        </w:rPr>
        <w:t>:</w:t>
      </w:r>
      <w:r>
        <w:rPr>
          <w:snapToGrid/>
          <w:lang w:eastAsia="en-AU"/>
        </w:rPr>
        <w:t xml:space="preserve"> </w:t>
      </w:r>
    </w:p>
    <w:p w:rsidR="0068395B" w:rsidRDefault="0068395B" w:rsidP="0068395B">
      <w:pPr>
        <w:pStyle w:val="ListBullet"/>
        <w:rPr>
          <w:snapToGrid/>
          <w:lang w:eastAsia="en-AU"/>
        </w:rPr>
      </w:pPr>
      <w:r w:rsidRPr="00D24F6B">
        <w:rPr>
          <w:snapToGrid/>
          <w:lang w:eastAsia="en-AU"/>
        </w:rPr>
        <w:t>potential sterilisation of prospective extractive resources by urb</w:t>
      </w:r>
      <w:r>
        <w:rPr>
          <w:snapToGrid/>
          <w:lang w:eastAsia="en-AU"/>
        </w:rPr>
        <w:t>an and regional development</w:t>
      </w:r>
    </w:p>
    <w:p w:rsidR="0068395B" w:rsidRDefault="0068395B" w:rsidP="0068395B">
      <w:pPr>
        <w:pStyle w:val="ListBullet"/>
        <w:rPr>
          <w:snapToGrid/>
          <w:lang w:eastAsia="en-AU"/>
        </w:rPr>
      </w:pPr>
      <w:r>
        <w:rPr>
          <w:snapToGrid/>
          <w:lang w:eastAsia="en-AU"/>
        </w:rPr>
        <w:t>encroachment of urban and regional development into existing quarrying areas</w:t>
      </w:r>
    </w:p>
    <w:p w:rsidR="0068395B" w:rsidRPr="00CC4F35" w:rsidRDefault="0068395B" w:rsidP="0068395B">
      <w:pPr>
        <w:pStyle w:val="ListBullet"/>
        <w:rPr>
          <w:snapToGrid/>
          <w:lang w:eastAsia="en-AU"/>
        </w:rPr>
      </w:pPr>
      <w:r w:rsidRPr="00E93B1A">
        <w:rPr>
          <w:snapToGrid/>
          <w:lang w:eastAsia="en-AU"/>
        </w:rPr>
        <w:t>the nearly doubling of demand for extractive resources over the 2015-2050 period will lead to an increase in the need for transport infrastructure</w:t>
      </w:r>
      <w:r>
        <w:rPr>
          <w:snapToGrid/>
          <w:lang w:eastAsia="en-AU"/>
        </w:rPr>
        <w:t>.</w:t>
      </w:r>
    </w:p>
    <w:p w:rsidR="0068395B" w:rsidRDefault="0068395B" w:rsidP="0068395B">
      <w:pPr>
        <w:pStyle w:val="PwCNormal"/>
      </w:pPr>
      <w:r w:rsidRPr="001A7D05">
        <w:t xml:space="preserve">These challenges were recognised by the Victorian Parliament's Economic Development and Infrastructure Committee, which in 2012 undertook the Inquiry into Greenfield Mineral Exploration and Project Development in Victoria. </w:t>
      </w:r>
      <w:r>
        <w:t xml:space="preserve">DEDJTR </w:t>
      </w:r>
      <w:r w:rsidRPr="001A7D05">
        <w:t>is responsible for leading and facilitating development of Victoria’s earth resources. In addition, the Extractive Industries Taskforce was established in April 2014 and its work program includes identification of substantial extractive resources in Victoria, particularly those which may be strategically important to the State.</w:t>
      </w:r>
      <w:r>
        <w:rPr>
          <w:rStyle w:val="FootnoteReference"/>
        </w:rPr>
        <w:footnoteReference w:id="3"/>
      </w:r>
    </w:p>
    <w:p w:rsidR="0068395B" w:rsidRDefault="0068395B" w:rsidP="0068395B">
      <w:pPr>
        <w:pStyle w:val="PwCNormal"/>
        <w:rPr>
          <w:snapToGrid/>
          <w:lang w:eastAsia="en-AU"/>
        </w:rPr>
      </w:pPr>
      <w:r>
        <w:t xml:space="preserve">PwC was engaged by DEDJTR and </w:t>
      </w:r>
      <w:r>
        <w:rPr>
          <w:snapToGrid/>
          <w:lang w:eastAsia="en-AU"/>
        </w:rPr>
        <w:t>t</w:t>
      </w:r>
      <w:r w:rsidRPr="00D24F6B">
        <w:rPr>
          <w:snapToGrid/>
          <w:lang w:eastAsia="en-AU"/>
        </w:rPr>
        <w:t>he Extractive Industries</w:t>
      </w:r>
      <w:r>
        <w:rPr>
          <w:snapToGrid/>
          <w:lang w:eastAsia="en-AU"/>
        </w:rPr>
        <w:t xml:space="preserve"> Taskforce to assist in:</w:t>
      </w:r>
    </w:p>
    <w:p w:rsidR="0068395B" w:rsidRDefault="0068395B" w:rsidP="0068395B">
      <w:pPr>
        <w:pStyle w:val="ChapterNumberedList1"/>
      </w:pPr>
      <w:r>
        <w:t>Identifying and quantifying current and forecast demand and supply profiles for Victorian extractive resources over two time periods: 2015-2025 and 2026-2050, including scenario analysis.</w:t>
      </w:r>
    </w:p>
    <w:p w:rsidR="0068395B" w:rsidRDefault="0068395B" w:rsidP="0068395B">
      <w:pPr>
        <w:pStyle w:val="ChapterNumberedList1"/>
      </w:pPr>
      <w:r>
        <w:t>Assessing the economic value of the State’s extractive resources, in terms of implications for cost and/or availability of infrastructure and other construction activity if certain extractive resources are not available close to where they are needed for construction activity.</w:t>
      </w:r>
    </w:p>
    <w:p w:rsidR="0068395B" w:rsidRDefault="0068395B" w:rsidP="0068395B">
      <w:pPr>
        <w:pStyle w:val="ChapterNumberedList1"/>
      </w:pPr>
      <w:r>
        <w:t>Determining which extractive resources (including location) are likely to be of strategic value to the State. A strategic resource criteria framework and associated measures have been developed in consultation with the Department and Extractive Industries Taskforce.</w:t>
      </w:r>
    </w:p>
    <w:p w:rsidR="0068395B" w:rsidRPr="00186583" w:rsidRDefault="0068395B" w:rsidP="0068395B">
      <w:pPr>
        <w:pStyle w:val="ChapterNumberedList1"/>
      </w:pPr>
      <w:r w:rsidRPr="00186583">
        <w:lastRenderedPageBreak/>
        <w:t>Conduct</w:t>
      </w:r>
      <w:r>
        <w:t>ing</w:t>
      </w:r>
      <w:r w:rsidRPr="00186583">
        <w:t xml:space="preserve"> spatial analysis through the production of detailed maps of extractive resource locations, including linkages to areas of current and future demand, transport corridors and market linkages, potential synergies and impediments.</w:t>
      </w:r>
    </w:p>
    <w:p w:rsidR="0068395B" w:rsidRPr="007037A7" w:rsidRDefault="0068395B" w:rsidP="0068395B">
      <w:pPr>
        <w:pStyle w:val="PwCNormal"/>
        <w:rPr>
          <w:rFonts w:asciiTheme="majorHAnsi" w:hAnsiTheme="majorHAnsi"/>
          <w:b/>
          <w:i/>
          <w:color w:val="A32020" w:themeColor="text2"/>
          <w:sz w:val="28"/>
          <w:szCs w:val="24"/>
        </w:rPr>
      </w:pPr>
      <w:r>
        <w:rPr>
          <w:rFonts w:asciiTheme="majorHAnsi" w:hAnsiTheme="majorHAnsi"/>
          <w:b/>
          <w:i/>
          <w:color w:val="A32020" w:themeColor="text2"/>
          <w:sz w:val="28"/>
          <w:szCs w:val="24"/>
        </w:rPr>
        <w:t>Approach</w:t>
      </w:r>
    </w:p>
    <w:p w:rsidR="0068395B" w:rsidRDefault="0068395B" w:rsidP="0068395B">
      <w:pPr>
        <w:pStyle w:val="PwCNormal"/>
      </w:pPr>
      <w:r>
        <w:t xml:space="preserve">The current and forecast demand and supply profiles for Victorian extractive resources have been undertaken by separate service providers. This report and associated analysis details the consolidated findings and recommendations flowing from the integration of both the supply and demand components.  </w:t>
      </w:r>
    </w:p>
    <w:p w:rsidR="0068395B" w:rsidRDefault="0068395B" w:rsidP="0068395B">
      <w:pPr>
        <w:pStyle w:val="PwCNormal"/>
      </w:pPr>
      <w:r>
        <w:t>PwC has designed a framework that seamlessly integrates the supply and demand studies whilst maintaining the highest degree of rigour and transparency within the analysis.  An overview of PwC’s approach is illustrated below.</w:t>
      </w:r>
    </w:p>
    <w:p w:rsidR="0068395B" w:rsidRDefault="0068395B" w:rsidP="0068395B">
      <w:pPr>
        <w:pStyle w:val="Caption"/>
      </w:pPr>
      <w:r>
        <w:t xml:space="preserve">Figure </w:t>
      </w:r>
      <w:fldSimple w:instr=" SEQ Figure \* ARABIC ">
        <w:r w:rsidR="00E22E13">
          <w:rPr>
            <w:noProof/>
          </w:rPr>
          <w:t>1</w:t>
        </w:r>
      </w:fldSimple>
      <w:r w:rsidRPr="00585009">
        <w:t>: Overview of extractive resource modelling approach</w:t>
      </w:r>
      <w:r w:rsidRPr="00585009">
        <w:rPr>
          <w:rStyle w:val="FootnoteReference"/>
          <w:color w:val="FFFFFF" w:themeColor="background1"/>
        </w:rPr>
        <w:footnoteReference w:id="4"/>
      </w:r>
    </w:p>
    <w:p w:rsidR="0068395B" w:rsidRDefault="0068395B" w:rsidP="0068395B">
      <w:pPr>
        <w:pStyle w:val="Sources"/>
        <w:rPr>
          <w:rFonts w:asciiTheme="majorHAnsi" w:hAnsiTheme="majorHAnsi"/>
          <w:b/>
          <w:i/>
          <w:sz w:val="28"/>
          <w:szCs w:val="24"/>
        </w:rPr>
      </w:pPr>
      <w:r w:rsidRPr="00366824">
        <w:t xml:space="preserve"> </w:t>
      </w:r>
      <w:r w:rsidRPr="006568B8">
        <w:rPr>
          <w:noProof/>
          <w:snapToGrid/>
          <w:lang w:eastAsia="en-AU"/>
        </w:rPr>
        <w:t xml:space="preserve"> </w:t>
      </w:r>
      <w:r w:rsidRPr="0049131E">
        <w:rPr>
          <w:noProof/>
          <w:snapToGrid/>
          <w:lang w:eastAsia="en-AU"/>
        </w:rPr>
        <w:t xml:space="preserve"> </w:t>
      </w:r>
      <w:r w:rsidRPr="00177E4E">
        <w:rPr>
          <w:noProof/>
          <w:snapToGrid/>
          <w:lang w:eastAsia="en-AU"/>
        </w:rPr>
        <w:t xml:space="preserve"> </w:t>
      </w:r>
      <w:r w:rsidR="00E060CE" w:rsidRPr="00E060CE">
        <w:rPr>
          <w:noProof/>
          <w:lang w:eastAsia="en-AU"/>
        </w:rPr>
        <w:drawing>
          <wp:inline distT="0" distB="0" distL="0" distR="0" wp14:anchorId="5E858173" wp14:editId="42C40F50">
            <wp:extent cx="5220335" cy="4598921"/>
            <wp:effectExtent l="0" t="0" r="0" b="0"/>
            <wp:docPr id="15404" name="Picture 15404" descr="This figure shows an overview of the extractive resource modelling approach used to develop this report. Phase 1 was demand modelling and analysis. Phase 2 was supply modelling and analysis.  Phase 3 was an analysis of the interaction between the supply and demand.  Phase 4 was strategic resource determination. Phase 5 was reporting and mapping.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335" cy="4598921"/>
                    </a:xfrm>
                    <a:prstGeom prst="rect">
                      <a:avLst/>
                    </a:prstGeom>
                    <a:noFill/>
                    <a:ln>
                      <a:noFill/>
                    </a:ln>
                  </pic:spPr>
                </pic:pic>
              </a:graphicData>
            </a:graphic>
          </wp:inline>
        </w:drawing>
      </w:r>
      <w:r w:rsidRPr="001A7D05">
        <w:rPr>
          <w:noProof/>
          <w:snapToGrid/>
          <w:lang w:eastAsia="en-AU"/>
        </w:rPr>
        <w:t xml:space="preserve"> </w:t>
      </w:r>
      <w:r>
        <w:rPr>
          <w:noProof/>
          <w:snapToGrid/>
          <w:lang w:eastAsia="en-AU"/>
        </w:rPr>
        <w:t>Source: PwC</w:t>
      </w:r>
      <w:r>
        <w:br w:type="page"/>
      </w:r>
    </w:p>
    <w:p w:rsidR="0068395B" w:rsidRDefault="0068395B" w:rsidP="0068395B">
      <w:pPr>
        <w:pStyle w:val="Minorheading"/>
      </w:pPr>
      <w:r>
        <w:lastRenderedPageBreak/>
        <w:t>Key findings</w:t>
      </w:r>
    </w:p>
    <w:p w:rsidR="0068395B" w:rsidRDefault="0068395B" w:rsidP="0068395B">
      <w:pPr>
        <w:pStyle w:val="PwCNormal"/>
      </w:pPr>
      <w:r>
        <w:t xml:space="preserve">Primary supply data were collected through comprehensive industry consultation, which comprised 81 per cent of Victorian industry as measured by the level of 2014 extractives production in Victoria. These data, which represent industry’s views and plans as indicated at a point in time, were used to develop supply projections over two time periods: 2015 to 2025 and 2026 to 2050. Notably, industry respondents stated they were less confident in the response provided for the latter time period, 2026 to 2050, relative to the first time period. </w:t>
      </w:r>
    </w:p>
    <w:p w:rsidR="0068395B" w:rsidRDefault="0068395B" w:rsidP="0068395B">
      <w:pPr>
        <w:pStyle w:val="PwCNormal"/>
      </w:pPr>
      <w:r>
        <w:t>The analysis has identified a set of critical resource locations within the State, based on the application of several criteria and the results of the industry data gathering. These resource locations are expected to inform a broader understanding of those regions that could be important to the State’s future development. A detailed analysis of the geological endowment of Victoria was not explicitly considered in the analysis. Rather, the analysis relied upon data provided through industry consultations which to some extent implicitly accounts for the geological endowment across parts of the State.</w:t>
      </w:r>
    </w:p>
    <w:p w:rsidR="0068395B" w:rsidRDefault="0068395B" w:rsidP="0068395B">
      <w:pPr>
        <w:pStyle w:val="Minorheading"/>
      </w:pPr>
      <w:r w:rsidRPr="00B459A4">
        <w:t>Overall</w:t>
      </w:r>
      <w:r>
        <w:t xml:space="preserve"> findings</w:t>
      </w:r>
    </w:p>
    <w:tbl>
      <w:tblPr>
        <w:tblStyle w:val="Tables-APLines"/>
        <w:tblW w:w="8755" w:type="dxa"/>
        <w:shd w:val="clear" w:color="auto" w:fill="A32020" w:themeFill="text2"/>
        <w:tblLook w:val="04A0" w:firstRow="1" w:lastRow="0" w:firstColumn="1" w:lastColumn="0" w:noHBand="0" w:noVBand="1"/>
        <w:tblCaption w:val="Overall findings"/>
        <w:tblDescription w:val="Overall findings table: This table shows the overall findings of the study. 11 billion tonnes of extractive resources are available within current and planned future Work Authorities in Victoria in 2050. 2 rock types will be nearly depleted by 2050, however the core extractive resources will still have strong reserves at the State level  34% Of demand for extractives in 2050 will need to be sourced from different quarries to the ones currently indicated for use by the industry (including expansion of current quarries and planned future quarries), due to resource exhaustion   15 Locations across Victoria are critical to ensuring the future supply of extractive materials at an efficient level    The analysis has estimated that an extra $2 billion of transport costs4 would be incurred across 2015 to 2050 for every additional 25 kilometre distance over which material is transported."/>
      </w:tblPr>
      <w:tblGrid>
        <w:gridCol w:w="1384"/>
        <w:gridCol w:w="7371"/>
      </w:tblGrid>
      <w:tr w:rsidR="0068395B" w:rsidRPr="00716396" w:rsidTr="006839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84" w:type="dxa"/>
            <w:shd w:val="clear" w:color="auto" w:fill="A32020" w:themeFill="text2"/>
            <w:vAlign w:val="top"/>
          </w:tcPr>
          <w:p w:rsidR="0068395B" w:rsidRPr="006916CE" w:rsidRDefault="0068395B" w:rsidP="0068395B">
            <w:pPr>
              <w:pStyle w:val="ListBullet"/>
              <w:numPr>
                <w:ilvl w:val="0"/>
                <w:numId w:val="0"/>
              </w:numPr>
              <w:jc w:val="right"/>
              <w:rPr>
                <w:rFonts w:asciiTheme="majorHAnsi" w:hAnsiTheme="majorHAnsi"/>
                <w:b/>
                <w:color w:val="FFFFFF" w:themeColor="background1"/>
              </w:rPr>
            </w:pPr>
            <w:r w:rsidRPr="006916CE">
              <w:rPr>
                <w:rFonts w:asciiTheme="majorHAnsi" w:hAnsiTheme="majorHAnsi"/>
                <w:b/>
                <w:color w:val="FFFFFF" w:themeColor="background1"/>
              </w:rPr>
              <w:t>11 billion</w:t>
            </w:r>
          </w:p>
        </w:tc>
        <w:tc>
          <w:tcPr>
            <w:tcW w:w="7371" w:type="dxa"/>
            <w:shd w:val="clear" w:color="auto" w:fill="A32020" w:themeFill="text2"/>
            <w:vAlign w:val="center"/>
          </w:tcPr>
          <w:p w:rsidR="0068395B" w:rsidRPr="006916CE" w:rsidRDefault="0068395B" w:rsidP="0068395B">
            <w:pPr>
              <w:pStyle w:val="ListBullet"/>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6916CE">
              <w:rPr>
                <w:rFonts w:asciiTheme="majorHAnsi" w:hAnsiTheme="majorHAnsi"/>
                <w:color w:val="FFFFFF" w:themeColor="background1"/>
              </w:rPr>
              <w:t xml:space="preserve">Tonnes of extractive resources are available within </w:t>
            </w:r>
            <w:r>
              <w:rPr>
                <w:rFonts w:asciiTheme="majorHAnsi" w:hAnsiTheme="majorHAnsi"/>
                <w:color w:val="FFFFFF" w:themeColor="background1"/>
              </w:rPr>
              <w:t xml:space="preserve">current and planned future Work Authorities (WAs) </w:t>
            </w:r>
            <w:r w:rsidRPr="006916CE">
              <w:rPr>
                <w:rFonts w:asciiTheme="majorHAnsi" w:hAnsiTheme="majorHAnsi"/>
                <w:color w:val="FFFFFF" w:themeColor="background1"/>
              </w:rPr>
              <w:t>in Victoria in 2050.  At a</w:t>
            </w:r>
            <w:r>
              <w:rPr>
                <w:rFonts w:asciiTheme="majorHAnsi" w:hAnsiTheme="majorHAnsi"/>
                <w:color w:val="FFFFFF" w:themeColor="background1"/>
              </w:rPr>
              <w:t>n aggregate level</w:t>
            </w:r>
            <w:r w:rsidRPr="006916CE">
              <w:rPr>
                <w:rFonts w:asciiTheme="majorHAnsi" w:hAnsiTheme="majorHAnsi"/>
                <w:color w:val="FFFFFF" w:themeColor="background1"/>
              </w:rPr>
              <w:t>, this is sufficient to meet demand for several years beyond 2050.  However, shortfalls and risks emerge at the rock type and regional level</w:t>
            </w:r>
          </w:p>
        </w:tc>
      </w:tr>
      <w:tr w:rsidR="0068395B" w:rsidRPr="001714D9" w:rsidTr="0068395B">
        <w:tc>
          <w:tcPr>
            <w:tcW w:w="1384" w:type="dxa"/>
            <w:shd w:val="clear" w:color="auto" w:fill="A32020" w:themeFill="text2"/>
          </w:tcPr>
          <w:p w:rsidR="0068395B" w:rsidRPr="001714D9" w:rsidRDefault="0068395B" w:rsidP="0068395B">
            <w:pPr>
              <w:pStyle w:val="ListBullet"/>
              <w:numPr>
                <w:ilvl w:val="0"/>
                <w:numId w:val="0"/>
              </w:numPr>
              <w:jc w:val="right"/>
              <w:rPr>
                <w:b/>
                <w:color w:val="FFFFFF" w:themeColor="background1"/>
              </w:rPr>
            </w:pPr>
            <w:r w:rsidRPr="001714D9">
              <w:rPr>
                <w:b/>
                <w:color w:val="FFFFFF" w:themeColor="background1"/>
              </w:rPr>
              <w:t>2</w:t>
            </w:r>
          </w:p>
        </w:tc>
        <w:tc>
          <w:tcPr>
            <w:tcW w:w="7371" w:type="dxa"/>
            <w:shd w:val="clear" w:color="auto" w:fill="A32020" w:themeFill="text2"/>
            <w:vAlign w:val="center"/>
          </w:tcPr>
          <w:p w:rsidR="0068395B" w:rsidRPr="001714D9" w:rsidRDefault="0068395B" w:rsidP="0068395B">
            <w:pPr>
              <w:pStyle w:val="ListBullet"/>
              <w:numPr>
                <w:ilvl w:val="0"/>
                <w:numId w:val="0"/>
              </w:numPr>
              <w:rPr>
                <w:color w:val="FFFFFF" w:themeColor="background1"/>
              </w:rPr>
            </w:pPr>
            <w:r w:rsidRPr="001714D9">
              <w:rPr>
                <w:color w:val="FFFFFF" w:themeColor="background1"/>
              </w:rPr>
              <w:t>Rock types will be nearly depleted by 2050, however the core extractive resources will still have strong reserves at the State level</w:t>
            </w:r>
          </w:p>
        </w:tc>
      </w:tr>
      <w:tr w:rsidR="0068395B" w:rsidTr="0068395B">
        <w:tc>
          <w:tcPr>
            <w:tcW w:w="1384" w:type="dxa"/>
            <w:shd w:val="clear" w:color="auto" w:fill="A32020" w:themeFill="text2"/>
          </w:tcPr>
          <w:p w:rsidR="0068395B" w:rsidRPr="001714D9" w:rsidRDefault="0068395B" w:rsidP="0068395B">
            <w:pPr>
              <w:pStyle w:val="ListBullet"/>
              <w:numPr>
                <w:ilvl w:val="0"/>
                <w:numId w:val="0"/>
              </w:numPr>
              <w:jc w:val="right"/>
              <w:rPr>
                <w:b/>
                <w:color w:val="FFFFFF" w:themeColor="background1"/>
              </w:rPr>
            </w:pPr>
            <w:r>
              <w:rPr>
                <w:b/>
                <w:color w:val="FFFFFF" w:themeColor="background1"/>
              </w:rPr>
              <w:t>34%</w:t>
            </w:r>
          </w:p>
        </w:tc>
        <w:tc>
          <w:tcPr>
            <w:tcW w:w="7371" w:type="dxa"/>
            <w:shd w:val="clear" w:color="auto" w:fill="A32020" w:themeFill="text2"/>
            <w:vAlign w:val="center"/>
          </w:tcPr>
          <w:p w:rsidR="0068395B" w:rsidRPr="001714D9" w:rsidRDefault="0068395B" w:rsidP="0068395B">
            <w:pPr>
              <w:pStyle w:val="ListBullet"/>
              <w:numPr>
                <w:ilvl w:val="0"/>
                <w:numId w:val="0"/>
              </w:numPr>
              <w:rPr>
                <w:color w:val="FFFFFF" w:themeColor="background1"/>
              </w:rPr>
            </w:pPr>
            <w:r w:rsidRPr="00716396">
              <w:rPr>
                <w:color w:val="FFFFFF" w:themeColor="background1"/>
              </w:rPr>
              <w:t xml:space="preserve">Of demand for extractives in 2050 will need to be sourced from different quarries to the ones currently </w:t>
            </w:r>
            <w:r>
              <w:rPr>
                <w:color w:val="FFFFFF" w:themeColor="background1"/>
              </w:rPr>
              <w:t>indicated for use by the industry (including expansion of current quarries and planned future quarries)</w:t>
            </w:r>
            <w:r w:rsidRPr="00716396">
              <w:rPr>
                <w:color w:val="FFFFFF" w:themeColor="background1"/>
              </w:rPr>
              <w:t xml:space="preserve">, due to resource </w:t>
            </w:r>
            <w:r>
              <w:rPr>
                <w:color w:val="FFFFFF" w:themeColor="background1"/>
              </w:rPr>
              <w:t>exhaustion</w:t>
            </w:r>
          </w:p>
        </w:tc>
      </w:tr>
      <w:tr w:rsidR="0068395B" w:rsidTr="0068395B">
        <w:tc>
          <w:tcPr>
            <w:tcW w:w="1384" w:type="dxa"/>
            <w:shd w:val="clear" w:color="auto" w:fill="A32020" w:themeFill="text2"/>
          </w:tcPr>
          <w:p w:rsidR="0068395B" w:rsidRPr="001714D9" w:rsidRDefault="0068395B" w:rsidP="0068395B">
            <w:pPr>
              <w:pStyle w:val="ListBullet"/>
              <w:numPr>
                <w:ilvl w:val="0"/>
                <w:numId w:val="0"/>
              </w:numPr>
              <w:jc w:val="right"/>
              <w:rPr>
                <w:b/>
                <w:color w:val="FFFFFF" w:themeColor="background1"/>
              </w:rPr>
            </w:pPr>
            <w:r>
              <w:rPr>
                <w:b/>
                <w:color w:val="FFFFFF" w:themeColor="background1"/>
              </w:rPr>
              <w:t>15</w:t>
            </w:r>
          </w:p>
        </w:tc>
        <w:tc>
          <w:tcPr>
            <w:tcW w:w="7371" w:type="dxa"/>
            <w:shd w:val="clear" w:color="auto" w:fill="A32020" w:themeFill="text2"/>
            <w:vAlign w:val="center"/>
          </w:tcPr>
          <w:p w:rsidR="0068395B" w:rsidRPr="001714D9" w:rsidRDefault="0068395B" w:rsidP="0068395B">
            <w:pPr>
              <w:pStyle w:val="ListBullet"/>
              <w:numPr>
                <w:ilvl w:val="0"/>
                <w:numId w:val="0"/>
              </w:numPr>
              <w:rPr>
                <w:color w:val="FFFFFF" w:themeColor="background1"/>
              </w:rPr>
            </w:pPr>
            <w:r w:rsidRPr="00716396">
              <w:rPr>
                <w:color w:val="FFFFFF" w:themeColor="background1"/>
              </w:rPr>
              <w:t xml:space="preserve">Locations across Victoria are critical to ensuring the future supply of extractive materials at an efficient level </w:t>
            </w:r>
          </w:p>
        </w:tc>
      </w:tr>
      <w:tr w:rsidR="0068395B" w:rsidTr="0068395B">
        <w:tc>
          <w:tcPr>
            <w:tcW w:w="1384" w:type="dxa"/>
            <w:shd w:val="clear" w:color="auto" w:fill="A32020" w:themeFill="text2"/>
          </w:tcPr>
          <w:p w:rsidR="0068395B" w:rsidRPr="006916CE" w:rsidRDefault="0068395B" w:rsidP="0068395B">
            <w:pPr>
              <w:pStyle w:val="ListBullet"/>
              <w:numPr>
                <w:ilvl w:val="0"/>
                <w:numId w:val="0"/>
              </w:numPr>
              <w:jc w:val="right"/>
              <w:rPr>
                <w:b/>
                <w:color w:val="FFFFFF" w:themeColor="background1"/>
              </w:rPr>
            </w:pPr>
            <w:r>
              <w:rPr>
                <w:b/>
                <w:color w:val="FFFFFF" w:themeColor="background1"/>
              </w:rPr>
              <w:t>$2 billion</w:t>
            </w:r>
          </w:p>
        </w:tc>
        <w:tc>
          <w:tcPr>
            <w:tcW w:w="7371" w:type="dxa"/>
            <w:shd w:val="clear" w:color="auto" w:fill="A32020" w:themeFill="text2"/>
            <w:vAlign w:val="center"/>
          </w:tcPr>
          <w:p w:rsidR="0068395B" w:rsidRPr="006916CE" w:rsidRDefault="0068395B" w:rsidP="0068395B">
            <w:pPr>
              <w:pStyle w:val="ListBullet"/>
              <w:numPr>
                <w:ilvl w:val="0"/>
                <w:numId w:val="0"/>
              </w:numPr>
              <w:rPr>
                <w:color w:val="FFFFFF" w:themeColor="background1"/>
              </w:rPr>
            </w:pPr>
            <w:r w:rsidRPr="00795858">
              <w:rPr>
                <w:color w:val="FFFFFF" w:themeColor="background1"/>
              </w:rPr>
              <w:t>The analysis has estimated that an extra $2 billion of transport costs</w:t>
            </w:r>
            <w:r>
              <w:rPr>
                <w:rStyle w:val="FootnoteReference"/>
                <w:color w:val="FFFFFF" w:themeColor="background1"/>
              </w:rPr>
              <w:footnoteReference w:id="5"/>
            </w:r>
            <w:r w:rsidRPr="00795858">
              <w:rPr>
                <w:color w:val="FFFFFF" w:themeColor="background1"/>
              </w:rPr>
              <w:t xml:space="preserve"> would be incurred across 2015</w:t>
            </w:r>
            <w:r>
              <w:rPr>
                <w:color w:val="FFFFFF" w:themeColor="background1"/>
              </w:rPr>
              <w:t xml:space="preserve"> to 20</w:t>
            </w:r>
            <w:r w:rsidRPr="00795858">
              <w:rPr>
                <w:color w:val="FFFFFF" w:themeColor="background1"/>
              </w:rPr>
              <w:t xml:space="preserve">50 for every additional 25 kilometre distance over which material is </w:t>
            </w:r>
            <w:r>
              <w:rPr>
                <w:color w:val="FFFFFF" w:themeColor="background1"/>
              </w:rPr>
              <w:t>transported</w:t>
            </w:r>
            <w:r w:rsidRPr="00795858">
              <w:rPr>
                <w:color w:val="FFFFFF" w:themeColor="background1"/>
              </w:rPr>
              <w:t>. This figure represents the cost uplift of meeting the aggregate supply shortfalls across all locations from 2015</w:t>
            </w:r>
            <w:r>
              <w:rPr>
                <w:color w:val="FFFFFF" w:themeColor="background1"/>
              </w:rPr>
              <w:t xml:space="preserve"> to 20</w:t>
            </w:r>
            <w:r w:rsidRPr="00795858">
              <w:rPr>
                <w:color w:val="FFFFFF" w:themeColor="background1"/>
              </w:rPr>
              <w:t>50 by accessing material from quarries 25km further away than those currently used.</w:t>
            </w:r>
            <w:r>
              <w:rPr>
                <w:color w:val="FFFFFF" w:themeColor="background1"/>
              </w:rPr>
              <w:t xml:space="preserve"> </w:t>
            </w:r>
            <w:r w:rsidRPr="00930699">
              <w:rPr>
                <w:color w:val="FFFFFF" w:themeColor="background1"/>
              </w:rPr>
              <w:t xml:space="preserve">This represents </w:t>
            </w:r>
            <w:r>
              <w:rPr>
                <w:color w:val="FFFFFF" w:themeColor="background1"/>
              </w:rPr>
              <w:t>four per cent</w:t>
            </w:r>
            <w:r w:rsidRPr="00930699">
              <w:rPr>
                <w:color w:val="FFFFFF" w:themeColor="background1"/>
              </w:rPr>
              <w:t xml:space="preserve"> </w:t>
            </w:r>
            <w:r w:rsidRPr="00EA5223">
              <w:rPr>
                <w:color w:val="FFFFFF" w:themeColor="background1"/>
              </w:rPr>
              <w:t>of total transport costs over the period</w:t>
            </w:r>
          </w:p>
        </w:tc>
      </w:tr>
    </w:tbl>
    <w:p w:rsidR="0068395B" w:rsidRPr="00C95901" w:rsidRDefault="0068395B" w:rsidP="0068395B">
      <w:pPr>
        <w:pStyle w:val="ListBullet"/>
      </w:pPr>
      <w:r w:rsidRPr="00C95901">
        <w:t xml:space="preserve">In taking an overall high-level State view, ignoring transport and locational differences, Victoria has close to sufficient resources held in current and planned future </w:t>
      </w:r>
      <w:r>
        <w:t xml:space="preserve">WAs </w:t>
      </w:r>
      <w:r w:rsidRPr="00C95901">
        <w:t>to meet its extractive resource needs across the 2015</w:t>
      </w:r>
      <w:r>
        <w:t xml:space="preserve"> to </w:t>
      </w:r>
      <w:r w:rsidRPr="00C95901">
        <w:t>2050 analysis period.</w:t>
      </w:r>
    </w:p>
    <w:p w:rsidR="0068395B" w:rsidRDefault="0068395B" w:rsidP="0068395B">
      <w:pPr>
        <w:pStyle w:val="ListBullet"/>
      </w:pPr>
      <w:r w:rsidRPr="00C95901">
        <w:t xml:space="preserve">However, in taking a more granular extractive resource by location view, including feasible supply catchment areas, </w:t>
      </w:r>
      <w:r>
        <w:t>important nuances can be observed</w:t>
      </w:r>
      <w:r w:rsidRPr="00C95901">
        <w:t>.</w:t>
      </w:r>
      <w:r w:rsidRPr="00154B84">
        <w:t xml:space="preserve"> </w:t>
      </w:r>
      <w:r>
        <w:t xml:space="preserve"> The indicated reserves of many current and planned future quarries are likely to be exhausted.  Unless new deposits are identified and explored, or substitutes found, this is likely to result in: </w:t>
      </w:r>
    </w:p>
    <w:p w:rsidR="0068395B" w:rsidRDefault="0068395B" w:rsidP="0068395B">
      <w:pPr>
        <w:pStyle w:val="ListBullet2"/>
      </w:pPr>
      <w:r>
        <w:t>potential supply shortfalls emerging in some locations, where the level of demand is greater than regionally available supply for a given rock type</w:t>
      </w:r>
    </w:p>
    <w:p w:rsidR="0068395B" w:rsidRPr="00C95901" w:rsidRDefault="0068395B" w:rsidP="0068395B">
      <w:pPr>
        <w:pStyle w:val="ListBullet2"/>
      </w:pPr>
      <w:r>
        <w:t>several minor rock types nearing State-wide exhaustion of indicated current and planned future reserves.</w:t>
      </w:r>
    </w:p>
    <w:p w:rsidR="0068395B" w:rsidRPr="00C95901" w:rsidRDefault="0068395B" w:rsidP="0068395B">
      <w:pPr>
        <w:pStyle w:val="Minorheading"/>
      </w:pPr>
      <w:r w:rsidRPr="00B459A4">
        <w:t>Demand</w:t>
      </w:r>
    </w:p>
    <w:p w:rsidR="0068395B" w:rsidRPr="00576FCA" w:rsidRDefault="0068395B" w:rsidP="0068395B">
      <w:pPr>
        <w:pStyle w:val="ListBullet"/>
      </w:pPr>
      <w:r>
        <w:t>Ove</w:t>
      </w:r>
      <w:r w:rsidRPr="00576FCA">
        <w:t>r the analysis period 2015</w:t>
      </w:r>
      <w:r>
        <w:t xml:space="preserve"> to </w:t>
      </w:r>
      <w:r w:rsidRPr="00576FCA">
        <w:t xml:space="preserve">2050, demand for extractive resources across Victoria is expected to nearly double from 46.4 million tonnes in 2015 to 87.8 million tonnes in 2050.  </w:t>
      </w:r>
    </w:p>
    <w:p w:rsidR="0068395B" w:rsidRDefault="0068395B" w:rsidP="0068395B">
      <w:pPr>
        <w:pStyle w:val="ListBullet"/>
      </w:pPr>
      <w:r>
        <w:rPr>
          <w:noProof/>
          <w:lang w:eastAsia="en-AU"/>
        </w:rPr>
        <mc:AlternateContent>
          <mc:Choice Requires="wps">
            <w:drawing>
              <wp:anchor distT="0" distB="0" distL="114300" distR="114300" simplePos="0" relativeHeight="251722752" behindDoc="1" locked="0" layoutInCell="1" allowOverlap="1" wp14:anchorId="768C5789" wp14:editId="01071D0F">
                <wp:simplePos x="0" y="0"/>
                <wp:positionH relativeFrom="column">
                  <wp:posOffset>173355</wp:posOffset>
                </wp:positionH>
                <wp:positionV relativeFrom="paragraph">
                  <wp:posOffset>504190</wp:posOffset>
                </wp:positionV>
                <wp:extent cx="4933950" cy="2464435"/>
                <wp:effectExtent l="0" t="0" r="19050" b="12065"/>
                <wp:wrapTight wrapText="bothSides">
                  <wp:wrapPolygon edited="0">
                    <wp:start x="0" y="0"/>
                    <wp:lineTo x="0" y="21539"/>
                    <wp:lineTo x="21600" y="21539"/>
                    <wp:lineTo x="21600" y="0"/>
                    <wp:lineTo x="0" y="0"/>
                  </wp:wrapPolygon>
                </wp:wrapTight>
                <wp:docPr id="15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64435"/>
                        </a:xfrm>
                        <a:prstGeom prst="rect">
                          <a:avLst/>
                        </a:prstGeom>
                        <a:solidFill>
                          <a:schemeClr val="tx2"/>
                        </a:solidFill>
                        <a:ln w="9525">
                          <a:solidFill>
                            <a:schemeClr val="tx2"/>
                          </a:solidFill>
                          <a:miter lim="800000"/>
                          <a:headEnd/>
                          <a:tailEnd/>
                        </a:ln>
                      </wps:spPr>
                      <wps:txbx>
                        <w:txbxContent>
                          <w:p w:rsidR="00F752F4" w:rsidRPr="006916CE" w:rsidRDefault="00F752F4" w:rsidP="0068395B">
                            <w:pPr>
                              <w:pStyle w:val="ListBullet"/>
                              <w:numPr>
                                <w:ilvl w:val="0"/>
                                <w:numId w:val="0"/>
                              </w:numPr>
                              <w:ind w:left="284" w:hanging="284"/>
                              <w:rPr>
                                <w:color w:val="FFFFFF" w:themeColor="background1"/>
                              </w:rPr>
                            </w:pPr>
                            <w:r w:rsidRPr="006916CE">
                              <w:rPr>
                                <w:color w:val="FFFFFF" w:themeColor="background1"/>
                              </w:rPr>
                              <w:t>In terms of growth by rock type:</w:t>
                            </w:r>
                          </w:p>
                          <w:p w:rsidR="00F752F4" w:rsidRPr="006916CE" w:rsidRDefault="00F752F4" w:rsidP="0068395B">
                            <w:pPr>
                              <w:pStyle w:val="ListBullet2"/>
                              <w:numPr>
                                <w:ilvl w:val="0"/>
                                <w:numId w:val="57"/>
                              </w:numPr>
                              <w:rPr>
                                <w:color w:val="FFFFFF" w:themeColor="background1"/>
                              </w:rPr>
                            </w:pPr>
                            <w:r w:rsidRPr="006916CE">
                              <w:rPr>
                                <w:color w:val="FFFFFF" w:themeColor="background1"/>
                              </w:rPr>
                              <w:t>Hard rock demand is expected to grow by 109% to 63.8 million tonnes in 2050</w:t>
                            </w:r>
                          </w:p>
                          <w:p w:rsidR="00F752F4" w:rsidRPr="006916CE" w:rsidRDefault="00F752F4" w:rsidP="0068395B">
                            <w:pPr>
                              <w:pStyle w:val="ListBullet2"/>
                              <w:numPr>
                                <w:ilvl w:val="0"/>
                                <w:numId w:val="57"/>
                              </w:numPr>
                              <w:rPr>
                                <w:color w:val="FFFFFF" w:themeColor="background1"/>
                              </w:rPr>
                            </w:pPr>
                            <w:r w:rsidRPr="006916CE">
                              <w:rPr>
                                <w:color w:val="FFFFFF" w:themeColor="background1"/>
                              </w:rPr>
                              <w:t>Sand and gravel demand is expected to grow by 34% to 16.9 million tonnes in 2050</w:t>
                            </w:r>
                          </w:p>
                          <w:p w:rsidR="00F752F4" w:rsidRPr="006916CE" w:rsidRDefault="00F752F4" w:rsidP="0068395B">
                            <w:pPr>
                              <w:pStyle w:val="ListBullet2"/>
                              <w:numPr>
                                <w:ilvl w:val="0"/>
                                <w:numId w:val="57"/>
                              </w:numPr>
                              <w:rPr>
                                <w:color w:val="FFFFFF" w:themeColor="background1"/>
                              </w:rPr>
                            </w:pPr>
                            <w:r w:rsidRPr="006916CE">
                              <w:rPr>
                                <w:color w:val="FFFFFF" w:themeColor="background1"/>
                              </w:rPr>
                              <w:t>Limestone demand is expected to grow by 150% to 5.4 million tonnes in 2050</w:t>
                            </w:r>
                          </w:p>
                          <w:p w:rsidR="00F752F4" w:rsidRDefault="00F752F4" w:rsidP="0068395B">
                            <w:pPr>
                              <w:pStyle w:val="ListBullet2"/>
                              <w:numPr>
                                <w:ilvl w:val="0"/>
                                <w:numId w:val="0"/>
                              </w:numPr>
                            </w:pPr>
                            <w:r w:rsidRPr="00440D5C">
                              <w:rPr>
                                <w:color w:val="FFFFFF" w:themeColor="background1"/>
                              </w:rPr>
                              <w:t>Clay and clay shale demand is expected to grow by 33% to 1.6 million tonnes in 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C5789" id="_x0000_t202" coordsize="21600,21600" o:spt="202" path="m,l,21600r21600,l21600,xe">
                <v:stroke joinstyle="miter"/>
                <v:path gradientshapeok="t" o:connecttype="rect"/>
              </v:shapetype>
              <v:shape id="Text Box 2" o:spid="_x0000_s1026" type="#_x0000_t202" style="position:absolute;left:0;text-align:left;margin-left:13.65pt;margin-top:39.7pt;width:388.5pt;height:194.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" fillcolor="#a32020 [3215]" strokecolor="#a32020 [3215]">
                <v:textbox>
                  <w:txbxContent>
                    <w:p w:rsidR="00F752F4" w:rsidRPr="006916CE" w:rsidRDefault="00F752F4" w:rsidP="0068395B">
                      <w:pPr>
                        <w:pStyle w:val="ListBullet"/>
                        <w:numPr>
                          <w:ilvl w:val="0"/>
                          <w:numId w:val="0"/>
                        </w:numPr>
                        <w:ind w:left="284" w:hanging="284"/>
                        <w:rPr>
                          <w:color w:val="FFFFFF" w:themeColor="background1"/>
                        </w:rPr>
                      </w:pPr>
                      <w:r w:rsidRPr="006916CE">
                        <w:rPr>
                          <w:color w:val="FFFFFF" w:themeColor="background1"/>
                        </w:rPr>
                        <w:t>In terms of growth by rock type:</w:t>
                      </w:r>
                    </w:p>
                    <w:p w:rsidR="00F752F4" w:rsidRPr="006916CE" w:rsidRDefault="00F752F4" w:rsidP="0068395B">
                      <w:pPr>
                        <w:pStyle w:val="ListBullet2"/>
                        <w:numPr>
                          <w:ilvl w:val="0"/>
                          <w:numId w:val="57"/>
                        </w:numPr>
                        <w:rPr>
                          <w:color w:val="FFFFFF" w:themeColor="background1"/>
                        </w:rPr>
                      </w:pPr>
                      <w:r w:rsidRPr="006916CE">
                        <w:rPr>
                          <w:color w:val="FFFFFF" w:themeColor="background1"/>
                        </w:rPr>
                        <w:t>Hard rock demand is expected to grow by 109% to 63.8 million tonnes in 2050</w:t>
                      </w:r>
                    </w:p>
                    <w:p w:rsidR="00F752F4" w:rsidRPr="006916CE" w:rsidRDefault="00F752F4" w:rsidP="0068395B">
                      <w:pPr>
                        <w:pStyle w:val="ListBullet2"/>
                        <w:numPr>
                          <w:ilvl w:val="0"/>
                          <w:numId w:val="57"/>
                        </w:numPr>
                        <w:rPr>
                          <w:color w:val="FFFFFF" w:themeColor="background1"/>
                        </w:rPr>
                      </w:pPr>
                      <w:r w:rsidRPr="006916CE">
                        <w:rPr>
                          <w:color w:val="FFFFFF" w:themeColor="background1"/>
                        </w:rPr>
                        <w:t>Sand and gravel demand is expected to grow by 34% to 16.9 million tonnes in 2050</w:t>
                      </w:r>
                    </w:p>
                    <w:p w:rsidR="00F752F4" w:rsidRPr="006916CE" w:rsidRDefault="00F752F4" w:rsidP="0068395B">
                      <w:pPr>
                        <w:pStyle w:val="ListBullet2"/>
                        <w:numPr>
                          <w:ilvl w:val="0"/>
                          <w:numId w:val="57"/>
                        </w:numPr>
                        <w:rPr>
                          <w:color w:val="FFFFFF" w:themeColor="background1"/>
                        </w:rPr>
                      </w:pPr>
                      <w:r w:rsidRPr="006916CE">
                        <w:rPr>
                          <w:color w:val="FFFFFF" w:themeColor="background1"/>
                        </w:rPr>
                        <w:t>Limestone demand is expected to grow by 150% to 5.4 million tonnes in 2050</w:t>
                      </w:r>
                    </w:p>
                    <w:p w:rsidR="00F752F4" w:rsidRDefault="00F752F4" w:rsidP="0068395B">
                      <w:pPr>
                        <w:pStyle w:val="ListBullet2"/>
                        <w:numPr>
                          <w:ilvl w:val="0"/>
                          <w:numId w:val="0"/>
                        </w:numPr>
                      </w:pPr>
                      <w:r w:rsidRPr="00440D5C">
                        <w:rPr>
                          <w:color w:val="FFFFFF" w:themeColor="background1"/>
                        </w:rPr>
                        <w:t>Clay and clay shale demand is expected to grow by 33% to 1.6 million tonnes in 2050</w:t>
                      </w:r>
                    </w:p>
                  </w:txbxContent>
                </v:textbox>
                <w10:wrap type="tight"/>
              </v:shape>
            </w:pict>
          </mc:Fallback>
        </mc:AlternateContent>
      </w:r>
      <w:r w:rsidRPr="00576FCA">
        <w:t>The majority of this demand is expected</w:t>
      </w:r>
      <w:r>
        <w:t xml:space="preserve"> in</w:t>
      </w:r>
      <w:r w:rsidRPr="00576FCA">
        <w:t xml:space="preserve"> </w:t>
      </w:r>
      <w:r>
        <w:t>central and fringe areas of Metropolitan Melbourne</w:t>
      </w:r>
      <w:r w:rsidRPr="00576FCA">
        <w:t xml:space="preserve">, driven by strong population growth projections. </w:t>
      </w:r>
      <w:r>
        <w:t xml:space="preserve">Key </w:t>
      </w:r>
      <w:r w:rsidRPr="00576FCA">
        <w:t xml:space="preserve">areas </w:t>
      </w:r>
      <w:r>
        <w:t xml:space="preserve">of future demand </w:t>
      </w:r>
      <w:r w:rsidRPr="00576FCA">
        <w:t xml:space="preserve">include </w:t>
      </w:r>
      <w:r>
        <w:t xml:space="preserve">Melbourne, Hume, </w:t>
      </w:r>
      <w:r w:rsidRPr="00576FCA">
        <w:t>Casey</w:t>
      </w:r>
      <w:r w:rsidRPr="00C61138">
        <w:t xml:space="preserve">, Whittlesea and Wyndham. </w:t>
      </w:r>
    </w:p>
    <w:p w:rsidR="0068395B" w:rsidRDefault="0068395B" w:rsidP="0068395B">
      <w:pPr>
        <w:pStyle w:val="Minorheading"/>
      </w:pPr>
      <w:r>
        <w:br/>
      </w:r>
      <w:r w:rsidRPr="00756F46">
        <w:t>Meeting demand</w:t>
      </w:r>
    </w:p>
    <w:p w:rsidR="0068395B" w:rsidRDefault="0068395B" w:rsidP="0068395B">
      <w:pPr>
        <w:pStyle w:val="ListBullet"/>
      </w:pPr>
      <w:r>
        <w:t>Using PwC’s GEM, the analysis has identified Victorian Local Government Areas (LGAs) and regions which will be important in support of the increased demand for 4 major rock types (hard rock, sand and gravel, limestone and clay and clay shale).</w:t>
      </w:r>
    </w:p>
    <w:p w:rsidR="0068395B" w:rsidRPr="000E7FE5" w:rsidRDefault="0068395B" w:rsidP="0068395B">
      <w:pPr>
        <w:pStyle w:val="ListBullet"/>
      </w:pPr>
      <w:r>
        <w:t>Based on industry intentions as indicated in 2015, strong uplifts in supply will be required t</w:t>
      </w:r>
      <w:r w:rsidRPr="000E7FE5">
        <w:t xml:space="preserve">o meet the growth in demand identified above. </w:t>
      </w:r>
      <w:r>
        <w:t xml:space="preserve">The analysis has considered which resource locations could be critical to supporting this uplift; an overview of these areas is provided in </w:t>
      </w:r>
      <w:r w:rsidR="00424954">
        <w:fldChar w:fldCharType="begin"/>
      </w:r>
      <w:r w:rsidR="00424954">
        <w:instrText xml:space="preserve"> REF _Ref451239558 \h </w:instrText>
      </w:r>
      <w:r w:rsidR="00424954">
        <w:fldChar w:fldCharType="separate"/>
      </w:r>
      <w:r w:rsidR="00E22E13">
        <w:t xml:space="preserve">Figure </w:t>
      </w:r>
      <w:r w:rsidR="00E22E13">
        <w:rPr>
          <w:noProof/>
        </w:rPr>
        <w:t>2</w:t>
      </w:r>
      <w:r w:rsidR="00424954">
        <w:fldChar w:fldCharType="end"/>
      </w:r>
      <w:r w:rsidR="00424954">
        <w:t xml:space="preserve"> </w:t>
      </w:r>
      <w:r>
        <w:t>below</w:t>
      </w:r>
    </w:p>
    <w:p w:rsidR="0068395B" w:rsidRPr="00830ABB" w:rsidRDefault="0068395B" w:rsidP="0068395B">
      <w:pPr>
        <w:pStyle w:val="ListBullet"/>
      </w:pPr>
      <w:r w:rsidRPr="00830ABB">
        <w:t>With the majority of materials entering the Greater Melbourne region</w:t>
      </w:r>
      <w:r>
        <w:t>,</w:t>
      </w:r>
      <w:r w:rsidRPr="00830ABB">
        <w:t xml:space="preserve"> it will be critical to protect the areas which are the largest feeders into Greater Melbourne as indicated above.  </w:t>
      </w:r>
    </w:p>
    <w:p w:rsidR="0068395B" w:rsidRDefault="0068395B" w:rsidP="0068395B">
      <w:pPr>
        <w:pStyle w:val="ListBullet"/>
      </w:pPr>
      <w:r>
        <w:t>In particular, hard rock is demanded in large quantities in the State. The analysis has found that the supply of these resources is relatively constrained in certain regions within Victoria.</w:t>
      </w:r>
    </w:p>
    <w:p w:rsidR="0068395B" w:rsidRDefault="0068395B" w:rsidP="0068395B">
      <w:pPr>
        <w:pStyle w:val="ListBullet"/>
      </w:pPr>
      <w:r>
        <w:t xml:space="preserve">The analysis has applied a set of Strategic Resource Determination criteria to identify and </w:t>
      </w:r>
      <w:r w:rsidRPr="009C74AC">
        <w:t xml:space="preserve">locate resources that are considered critical to the State’s development. </w:t>
      </w:r>
    </w:p>
    <w:p w:rsidR="0068395B" w:rsidRPr="006916CE" w:rsidRDefault="0068395B" w:rsidP="0068395B">
      <w:pPr>
        <w:pStyle w:val="ListBullet"/>
      </w:pPr>
      <w:r w:rsidRPr="006916CE">
        <w:t>The top 5 critical resource locations below illustrate resource locations that are the best candidates for:</w:t>
      </w:r>
    </w:p>
    <w:p w:rsidR="0068395B" w:rsidRPr="009C74AC" w:rsidRDefault="0068395B" w:rsidP="0068395B">
      <w:pPr>
        <w:pStyle w:val="ListBullet2"/>
        <w:spacing w:after="120"/>
      </w:pPr>
      <w:r>
        <w:t>p</w:t>
      </w:r>
      <w:r w:rsidRPr="009C74AC">
        <w:t xml:space="preserve">rotection of existing resources </w:t>
      </w:r>
    </w:p>
    <w:p w:rsidR="0068395B" w:rsidRPr="009C74AC" w:rsidRDefault="0068395B" w:rsidP="0068395B">
      <w:pPr>
        <w:pStyle w:val="ListBullet2"/>
        <w:spacing w:after="120"/>
      </w:pPr>
      <w:r>
        <w:t>e</w:t>
      </w:r>
      <w:r w:rsidRPr="009C74AC">
        <w:t>nsuring policy mechanisms provide for licensing of new resources</w:t>
      </w:r>
      <w:r>
        <w:t>.</w:t>
      </w:r>
    </w:p>
    <w:p w:rsidR="0068395B" w:rsidRDefault="0068395B" w:rsidP="0068395B">
      <w:pPr>
        <w:pStyle w:val="Caption"/>
      </w:pPr>
      <w:bookmarkStart w:id="28" w:name="_Ref451239558"/>
      <w:r>
        <w:t xml:space="preserve">Figure </w:t>
      </w:r>
      <w:fldSimple w:instr=" SEQ Figure \* ARABIC ">
        <w:r w:rsidR="00E22E13">
          <w:rPr>
            <w:noProof/>
          </w:rPr>
          <w:t>2</w:t>
        </w:r>
      </w:fldSimple>
      <w:bookmarkEnd w:id="28"/>
      <w:r>
        <w:t>: Top five strategic resource locations</w:t>
      </w:r>
    </w:p>
    <w:tbl>
      <w:tblPr>
        <w:tblStyle w:val="Tables-APLines"/>
        <w:tblW w:w="9180" w:type="dxa"/>
        <w:shd w:val="clear" w:color="auto" w:fill="A32020" w:themeFill="text2"/>
        <w:tblLook w:val="04A0" w:firstRow="1" w:lastRow="0" w:firstColumn="1" w:lastColumn="0" w:noHBand="0" w:noVBand="1"/>
        <w:tblCaption w:val="Figure 2"/>
        <w:tblDescription w:val="This figure shows the top 5 strategic locations. First is South Gippsland. South Gippsland emerges as a critical location for hard rock and sand and gravel resources in Victoria, supplying approximately 33 per cent of the State’s hard rock needs and 22 per cent of its sand and gravel needs across the analysis period of 2015 to 2050. Its relative proximity to key sources of demand drives this assessment. Critical resources are hard rock, sand and gravel.  Second is Greater Geelong.  Whilst Greater Geelong is a noted location for hard rock and sand and gravel, its contribution to limestone production is most significant. The region is expected to deliver approximately 43 per cent of Victoria’s supply of limestone across 2015 to 2050, in large part due to its relative proximity to Greater Melbourne. It is noted that limestone is a key input into concrete production, meaning this resource is important to all construction methods employing concrete products. Critical resources are hard rock, sand and gravel and limestone. Third is Mitchell. Mitchell’s primary contribution to the State’s 2015 to 2050 extractive resource supply is in clay and clay shale, of which it supplies a relatively large share of total State supply. The LGA also possesses sizeable hard rock reserves along with some sand and gravel, which make Mitchell a key resource location for Victoria. Critical resources are hard rock, sand and gravel, clay. Fourth is Knox.  Knox is expected to deliver significant volumes both of hard rock resources and of clay and clay shale. Further to this, some exhaustion of current and planned future licensed reserves of these resources is anticipated in Knox. In combination this suggests that Knox is a good candidate location both for protection of existing licensed reserves and for development of new deposits in the future. Critical resources are hard rock, clay. Fifth is Cardinia.  Cardinia holds significant volumes of current and planned future licensed&#10;sand and gravel reserves. It is well positioned close to Melbourne meaning it can supply these resources at competitive costs to sites of strong demand in the city. Some hard rock resources are also present, meaning Cardinia has strong productive potential to support Victoria’s future development. Critical resources are hard rock, sand and gravel.&#10;"/>
      </w:tblPr>
      <w:tblGrid>
        <w:gridCol w:w="2235"/>
        <w:gridCol w:w="6945"/>
      </w:tblGrid>
      <w:tr w:rsidR="0068395B" w:rsidRPr="001714D9" w:rsidTr="006839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35" w:type="dxa"/>
            <w:shd w:val="clear" w:color="auto" w:fill="A32020" w:themeFill="text2"/>
            <w:vAlign w:val="center"/>
          </w:tcPr>
          <w:p w:rsidR="0068395B" w:rsidRPr="001714D9" w:rsidRDefault="0068395B" w:rsidP="0068395B">
            <w:pPr>
              <w:pStyle w:val="ListBullet"/>
              <w:numPr>
                <w:ilvl w:val="0"/>
                <w:numId w:val="0"/>
              </w:numPr>
              <w:rPr>
                <w:rFonts w:asciiTheme="majorHAnsi" w:hAnsiTheme="majorHAnsi"/>
                <w:b/>
                <w:color w:val="FFFFFF" w:themeColor="background1"/>
              </w:rPr>
            </w:pPr>
            <w:r>
              <w:rPr>
                <w:rFonts w:asciiTheme="majorHAnsi" w:hAnsiTheme="majorHAnsi"/>
                <w:b/>
                <w:color w:val="FFFFFF" w:themeColor="background1"/>
              </w:rPr>
              <w:t>1) South Gippsland</w:t>
            </w:r>
          </w:p>
        </w:tc>
        <w:tc>
          <w:tcPr>
            <w:tcW w:w="6945" w:type="dxa"/>
            <w:shd w:val="clear" w:color="auto" w:fill="A32020" w:themeFill="text2"/>
            <w:vAlign w:val="center"/>
          </w:tcPr>
          <w:p w:rsidR="0068395B" w:rsidRPr="00336681" w:rsidRDefault="0068395B" w:rsidP="0068395B">
            <w:pPr>
              <w:pStyle w:val="ListBullet"/>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36681">
              <w:rPr>
                <w:rFonts w:asciiTheme="majorHAnsi" w:hAnsiTheme="majorHAnsi"/>
                <w:color w:val="FFFFFF" w:themeColor="background1"/>
              </w:rPr>
              <w:t>South Gippsland emerges as a critical location for hard rock and sand and gravel resources in Victoria, supplying approximately 33 per cent of the State’s hard rock needs and 22 per cent of its sand and gravel needs across the analysis period of 2015</w:t>
            </w:r>
            <w:r>
              <w:rPr>
                <w:rFonts w:asciiTheme="majorHAnsi" w:hAnsiTheme="majorHAnsi"/>
                <w:color w:val="FFFFFF" w:themeColor="background1"/>
              </w:rPr>
              <w:t xml:space="preserve"> to 20</w:t>
            </w:r>
            <w:r w:rsidRPr="00336681">
              <w:rPr>
                <w:rFonts w:asciiTheme="majorHAnsi" w:hAnsiTheme="majorHAnsi"/>
                <w:color w:val="FFFFFF" w:themeColor="background1"/>
              </w:rPr>
              <w:t>50. Its relative proximity to key sources of demand drives this assessment.</w:t>
            </w:r>
          </w:p>
          <w:p w:rsidR="0068395B" w:rsidRPr="006916CE" w:rsidRDefault="0068395B" w:rsidP="0068395B">
            <w:pPr>
              <w:pStyle w:val="ListBullet"/>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6916CE">
              <w:rPr>
                <w:rFonts w:asciiTheme="majorHAnsi" w:hAnsiTheme="majorHAnsi"/>
                <w:b/>
                <w:color w:val="FFFFFF" w:themeColor="background1"/>
              </w:rPr>
              <w:t>Critical resources: Hard rock, sand and gravel</w:t>
            </w:r>
          </w:p>
        </w:tc>
      </w:tr>
      <w:tr w:rsidR="0068395B" w:rsidRPr="001714D9" w:rsidTr="0068395B">
        <w:tc>
          <w:tcPr>
            <w:tcW w:w="2235" w:type="dxa"/>
            <w:shd w:val="clear" w:color="auto" w:fill="A32020" w:themeFill="text2"/>
            <w:vAlign w:val="center"/>
          </w:tcPr>
          <w:p w:rsidR="0068395B" w:rsidRPr="001714D9" w:rsidRDefault="0068395B" w:rsidP="0068395B">
            <w:pPr>
              <w:pStyle w:val="ListBullet"/>
              <w:numPr>
                <w:ilvl w:val="0"/>
                <w:numId w:val="0"/>
              </w:numPr>
              <w:rPr>
                <w:b/>
                <w:color w:val="FFFFFF" w:themeColor="background1"/>
              </w:rPr>
            </w:pPr>
            <w:r>
              <w:rPr>
                <w:b/>
                <w:color w:val="FFFFFF" w:themeColor="background1"/>
              </w:rPr>
              <w:t>2) Greater Geelong</w:t>
            </w:r>
          </w:p>
        </w:tc>
        <w:tc>
          <w:tcPr>
            <w:tcW w:w="6945" w:type="dxa"/>
            <w:shd w:val="clear" w:color="auto" w:fill="A32020" w:themeFill="text2"/>
            <w:vAlign w:val="center"/>
          </w:tcPr>
          <w:p w:rsidR="0068395B" w:rsidRDefault="0068395B" w:rsidP="0068395B">
            <w:pPr>
              <w:pStyle w:val="ListBullet"/>
              <w:numPr>
                <w:ilvl w:val="0"/>
                <w:numId w:val="0"/>
              </w:numPr>
              <w:rPr>
                <w:rFonts w:asciiTheme="majorHAnsi" w:hAnsiTheme="majorHAnsi"/>
                <w:color w:val="FFFFFF" w:themeColor="background1"/>
              </w:rPr>
            </w:pPr>
            <w:r w:rsidRPr="006916CE">
              <w:rPr>
                <w:rFonts w:asciiTheme="majorHAnsi" w:hAnsiTheme="majorHAnsi"/>
                <w:color w:val="FFFFFF" w:themeColor="background1"/>
              </w:rPr>
              <w:t>Whilst Greater Geelong is a noted location for hard rock and sand and gravel, its contribution to limestone production is most significant. The region is expected to deliver approximately 43 per cent of Victoria’s supply of limestone across 2015</w:t>
            </w:r>
            <w:r>
              <w:rPr>
                <w:rFonts w:asciiTheme="majorHAnsi" w:hAnsiTheme="majorHAnsi"/>
                <w:color w:val="FFFFFF" w:themeColor="background1"/>
              </w:rPr>
              <w:t xml:space="preserve"> to 205</w:t>
            </w:r>
            <w:r w:rsidRPr="006916CE">
              <w:rPr>
                <w:rFonts w:asciiTheme="majorHAnsi" w:hAnsiTheme="majorHAnsi"/>
                <w:color w:val="FFFFFF" w:themeColor="background1"/>
              </w:rPr>
              <w:t>0</w:t>
            </w:r>
            <w:r>
              <w:rPr>
                <w:rFonts w:asciiTheme="majorHAnsi" w:hAnsiTheme="majorHAnsi"/>
                <w:color w:val="FFFFFF" w:themeColor="background1"/>
              </w:rPr>
              <w:t xml:space="preserve">, in large part due to its relative proximity to Greater Melbourne. </w:t>
            </w:r>
            <w:r w:rsidRPr="006916CE">
              <w:rPr>
                <w:rFonts w:asciiTheme="majorHAnsi" w:hAnsiTheme="majorHAnsi"/>
                <w:color w:val="FFFFFF" w:themeColor="background1"/>
              </w:rPr>
              <w:t>It is noted that limestone is a key input into concrete production, meaning this resource is important to all construction methods employing concrete products.</w:t>
            </w:r>
          </w:p>
          <w:p w:rsidR="0068395B" w:rsidRPr="001714D9" w:rsidRDefault="0068395B" w:rsidP="0068395B">
            <w:pPr>
              <w:pStyle w:val="ListBullet"/>
              <w:numPr>
                <w:ilvl w:val="0"/>
                <w:numId w:val="0"/>
              </w:numPr>
              <w:rPr>
                <w:color w:val="FFFFFF" w:themeColor="background1"/>
              </w:rPr>
            </w:pPr>
            <w:r w:rsidRPr="001714D9">
              <w:rPr>
                <w:rFonts w:asciiTheme="majorHAnsi" w:hAnsiTheme="majorHAnsi"/>
                <w:b/>
                <w:color w:val="FFFFFF" w:themeColor="background1"/>
              </w:rPr>
              <w:t>Critical resources: Hard rock, sand and gravel</w:t>
            </w:r>
            <w:r>
              <w:rPr>
                <w:rFonts w:asciiTheme="majorHAnsi" w:hAnsiTheme="majorHAnsi"/>
                <w:b/>
                <w:color w:val="FFFFFF" w:themeColor="background1"/>
              </w:rPr>
              <w:t>, limestone</w:t>
            </w:r>
          </w:p>
        </w:tc>
      </w:tr>
      <w:tr w:rsidR="0068395B" w:rsidTr="0068395B">
        <w:tc>
          <w:tcPr>
            <w:tcW w:w="2235" w:type="dxa"/>
            <w:shd w:val="clear" w:color="auto" w:fill="A32020" w:themeFill="text2"/>
            <w:vAlign w:val="center"/>
          </w:tcPr>
          <w:p w:rsidR="0068395B" w:rsidRPr="001714D9" w:rsidRDefault="0068395B" w:rsidP="0068395B">
            <w:pPr>
              <w:pStyle w:val="ListBullet"/>
              <w:numPr>
                <w:ilvl w:val="0"/>
                <w:numId w:val="0"/>
              </w:numPr>
              <w:rPr>
                <w:b/>
                <w:color w:val="FFFFFF" w:themeColor="background1"/>
              </w:rPr>
            </w:pPr>
            <w:r>
              <w:rPr>
                <w:b/>
                <w:color w:val="FFFFFF" w:themeColor="background1"/>
              </w:rPr>
              <w:t>3) Mitchell</w:t>
            </w:r>
          </w:p>
        </w:tc>
        <w:tc>
          <w:tcPr>
            <w:tcW w:w="6945" w:type="dxa"/>
            <w:shd w:val="clear" w:color="auto" w:fill="A32020" w:themeFill="text2"/>
            <w:vAlign w:val="center"/>
          </w:tcPr>
          <w:p w:rsidR="0068395B" w:rsidRPr="009C74AC" w:rsidRDefault="0068395B" w:rsidP="0068395B">
            <w:pPr>
              <w:pStyle w:val="ListBullet"/>
              <w:numPr>
                <w:ilvl w:val="0"/>
                <w:numId w:val="0"/>
              </w:numPr>
              <w:rPr>
                <w:rFonts w:asciiTheme="majorHAnsi" w:hAnsiTheme="majorHAnsi"/>
                <w:color w:val="FFFFFF" w:themeColor="background1"/>
              </w:rPr>
            </w:pPr>
            <w:r w:rsidRPr="006916CE">
              <w:rPr>
                <w:color w:val="FFFFFF" w:themeColor="background1"/>
              </w:rPr>
              <w:t>Mitchell’s primary contribution to the State’s 2015</w:t>
            </w:r>
            <w:r>
              <w:rPr>
                <w:color w:val="FFFFFF" w:themeColor="background1"/>
              </w:rPr>
              <w:t xml:space="preserve"> to 20</w:t>
            </w:r>
            <w:r w:rsidRPr="006916CE">
              <w:rPr>
                <w:color w:val="FFFFFF" w:themeColor="background1"/>
              </w:rPr>
              <w:t>50 extractive resource supply is in clay and clay shale, of which it supplies a relatively large share of total State supply. The LGA also possesses sizeable hard rock reserves along with some sand and gravel, which make Mitchell a key resource location for Victoria.</w:t>
            </w:r>
          </w:p>
          <w:p w:rsidR="0068395B" w:rsidRPr="001714D9" w:rsidRDefault="0068395B" w:rsidP="0068395B">
            <w:pPr>
              <w:pStyle w:val="ListBullet"/>
              <w:numPr>
                <w:ilvl w:val="0"/>
                <w:numId w:val="0"/>
              </w:numPr>
              <w:rPr>
                <w:color w:val="FFFFFF" w:themeColor="background1"/>
              </w:rPr>
            </w:pPr>
            <w:r w:rsidRPr="001714D9">
              <w:rPr>
                <w:rFonts w:asciiTheme="majorHAnsi" w:hAnsiTheme="majorHAnsi"/>
                <w:b/>
                <w:color w:val="FFFFFF" w:themeColor="background1"/>
              </w:rPr>
              <w:t>Critical resources: Hard rock, sand and gravel</w:t>
            </w:r>
            <w:r>
              <w:rPr>
                <w:rFonts w:asciiTheme="majorHAnsi" w:hAnsiTheme="majorHAnsi"/>
                <w:b/>
                <w:color w:val="FFFFFF" w:themeColor="background1"/>
              </w:rPr>
              <w:t>, clay</w:t>
            </w:r>
          </w:p>
        </w:tc>
      </w:tr>
      <w:tr w:rsidR="0068395B" w:rsidTr="0068395B">
        <w:tc>
          <w:tcPr>
            <w:tcW w:w="2235" w:type="dxa"/>
            <w:shd w:val="clear" w:color="auto" w:fill="A32020" w:themeFill="text2"/>
            <w:vAlign w:val="center"/>
          </w:tcPr>
          <w:p w:rsidR="0068395B" w:rsidRPr="001714D9" w:rsidRDefault="0068395B" w:rsidP="0068395B">
            <w:pPr>
              <w:pStyle w:val="ListBullet"/>
              <w:numPr>
                <w:ilvl w:val="0"/>
                <w:numId w:val="0"/>
              </w:numPr>
              <w:rPr>
                <w:b/>
                <w:color w:val="FFFFFF" w:themeColor="background1"/>
              </w:rPr>
            </w:pPr>
            <w:r>
              <w:rPr>
                <w:b/>
                <w:color w:val="FFFFFF" w:themeColor="background1"/>
              </w:rPr>
              <w:t>4) Knox</w:t>
            </w:r>
          </w:p>
        </w:tc>
        <w:tc>
          <w:tcPr>
            <w:tcW w:w="6945" w:type="dxa"/>
            <w:shd w:val="clear" w:color="auto" w:fill="A32020" w:themeFill="text2"/>
            <w:vAlign w:val="center"/>
          </w:tcPr>
          <w:p w:rsidR="0068395B" w:rsidRPr="009C74AC" w:rsidRDefault="0068395B" w:rsidP="0068395B">
            <w:pPr>
              <w:pStyle w:val="ListBullet"/>
              <w:numPr>
                <w:ilvl w:val="0"/>
                <w:numId w:val="0"/>
              </w:numPr>
              <w:rPr>
                <w:rFonts w:asciiTheme="majorHAnsi" w:hAnsiTheme="majorHAnsi"/>
                <w:color w:val="FFFFFF" w:themeColor="background1"/>
              </w:rPr>
            </w:pPr>
            <w:r w:rsidRPr="006916CE">
              <w:rPr>
                <w:color w:val="FFFFFF" w:themeColor="background1"/>
              </w:rPr>
              <w:t>Knox is expected to deliver significant volumes both of hard rock resources and of clay and clay shale. Further to this, some exhaustion of current and planned future licensed reserves of these resources is anticipated in Knox. In combination this suggests that Knox is a good candidate location both for protection of existing licensed reserves and for development of new deposits in the future.</w:t>
            </w:r>
          </w:p>
          <w:p w:rsidR="0068395B" w:rsidRPr="001714D9" w:rsidRDefault="0068395B" w:rsidP="0068395B">
            <w:pPr>
              <w:pStyle w:val="ListBullet"/>
              <w:numPr>
                <w:ilvl w:val="0"/>
                <w:numId w:val="0"/>
              </w:numPr>
              <w:rPr>
                <w:color w:val="FFFFFF" w:themeColor="background1"/>
              </w:rPr>
            </w:pPr>
            <w:r w:rsidRPr="001714D9">
              <w:rPr>
                <w:rFonts w:asciiTheme="majorHAnsi" w:hAnsiTheme="majorHAnsi"/>
                <w:b/>
                <w:color w:val="FFFFFF" w:themeColor="background1"/>
              </w:rPr>
              <w:t xml:space="preserve">Critical resources: Hard rock, </w:t>
            </w:r>
            <w:r>
              <w:rPr>
                <w:rFonts w:asciiTheme="majorHAnsi" w:hAnsiTheme="majorHAnsi"/>
                <w:b/>
                <w:color w:val="FFFFFF" w:themeColor="background1"/>
              </w:rPr>
              <w:t>clay</w:t>
            </w:r>
          </w:p>
        </w:tc>
      </w:tr>
      <w:tr w:rsidR="0068395B" w:rsidTr="0068395B">
        <w:tc>
          <w:tcPr>
            <w:tcW w:w="2235" w:type="dxa"/>
            <w:shd w:val="clear" w:color="auto" w:fill="A32020" w:themeFill="text2"/>
            <w:vAlign w:val="center"/>
          </w:tcPr>
          <w:p w:rsidR="0068395B" w:rsidRPr="001714D9" w:rsidRDefault="0068395B" w:rsidP="0068395B">
            <w:pPr>
              <w:pStyle w:val="ListBullet"/>
              <w:numPr>
                <w:ilvl w:val="0"/>
                <w:numId w:val="0"/>
              </w:numPr>
              <w:rPr>
                <w:b/>
                <w:color w:val="FFFFFF" w:themeColor="background1"/>
              </w:rPr>
            </w:pPr>
            <w:r>
              <w:rPr>
                <w:b/>
                <w:color w:val="FFFFFF" w:themeColor="background1"/>
              </w:rPr>
              <w:t>5) Cardinia</w:t>
            </w:r>
          </w:p>
        </w:tc>
        <w:tc>
          <w:tcPr>
            <w:tcW w:w="6945" w:type="dxa"/>
            <w:shd w:val="clear" w:color="auto" w:fill="A32020" w:themeFill="text2"/>
            <w:vAlign w:val="center"/>
          </w:tcPr>
          <w:p w:rsidR="0068395B" w:rsidRPr="006916CE" w:rsidRDefault="0068395B" w:rsidP="0068395B">
            <w:pPr>
              <w:pStyle w:val="ListBullet"/>
              <w:numPr>
                <w:ilvl w:val="0"/>
                <w:numId w:val="0"/>
              </w:numPr>
              <w:rPr>
                <w:color w:val="FFFFFF" w:themeColor="background1"/>
              </w:rPr>
            </w:pPr>
            <w:r w:rsidRPr="006916CE">
              <w:rPr>
                <w:color w:val="FFFFFF" w:themeColor="background1"/>
              </w:rPr>
              <w:t>Cardinia holds significant volumes of current and planned future licensed sand and gravel reserves. It is well positioned close to Melbourne meaning it can supply these resources at competitive costs to sites of strong demand in the city. Some hard rock resources are also present, meaning Cardinia has strong productive potential to support Victoria’s future development.</w:t>
            </w:r>
          </w:p>
          <w:p w:rsidR="0068395B" w:rsidRPr="001714D9" w:rsidRDefault="0068395B" w:rsidP="0068395B">
            <w:pPr>
              <w:pStyle w:val="ListBullet"/>
              <w:numPr>
                <w:ilvl w:val="0"/>
                <w:numId w:val="0"/>
              </w:numPr>
              <w:rPr>
                <w:color w:val="FFFFFF" w:themeColor="background1"/>
              </w:rPr>
            </w:pPr>
            <w:r w:rsidRPr="001714D9">
              <w:rPr>
                <w:rFonts w:asciiTheme="majorHAnsi" w:hAnsiTheme="majorHAnsi"/>
                <w:b/>
                <w:color w:val="FFFFFF" w:themeColor="background1"/>
              </w:rPr>
              <w:t>Critical resources: Hard rock, sand and gravel</w:t>
            </w:r>
          </w:p>
        </w:tc>
      </w:tr>
    </w:tbl>
    <w:p w:rsidR="0068395B" w:rsidRPr="00107A19" w:rsidRDefault="0068395B" w:rsidP="0068395B">
      <w:pPr>
        <w:pStyle w:val="ListBullet"/>
        <w:numPr>
          <w:ilvl w:val="0"/>
          <w:numId w:val="0"/>
        </w:numPr>
        <w:ind w:left="284" w:hanging="284"/>
      </w:pPr>
    </w:p>
    <w:p w:rsidR="0068395B" w:rsidRPr="00623DE4" w:rsidRDefault="0068395B" w:rsidP="0068395B">
      <w:pPr>
        <w:pStyle w:val="ListBullet"/>
      </w:pPr>
      <w:r>
        <w:t xml:space="preserve">Regions identified as critical suppliers of hard rock across the analysis period include South Gippsland, Mitchell and Melton, along with Victoria’s Inner South East region which includes areas such as Cardinia, Casey, Frankston and the Mornington Peninsula. These areas are identified as key supporters of the State’s future development, which will be heavily reliant on future supplies of hard rock quarry products. </w:t>
      </w:r>
    </w:p>
    <w:p w:rsidR="0068395B" w:rsidRDefault="0068395B" w:rsidP="0068395B">
      <w:pPr>
        <w:pStyle w:val="ListBullet"/>
      </w:pPr>
      <w:r w:rsidRPr="00107A19">
        <w:t>Identified c</w:t>
      </w:r>
      <w:r w:rsidRPr="00623DE4">
        <w:t xml:space="preserve">ritical locations for </w:t>
      </w:r>
      <w:r>
        <w:t>exhaustion of current and planned future hard rock reserves include</w:t>
      </w:r>
      <w:r w:rsidRPr="00623DE4">
        <w:t xml:space="preserve"> Indigo, Whittlesea and Wyndham, along with </w:t>
      </w:r>
      <w:r>
        <w:t xml:space="preserve">areas of </w:t>
      </w:r>
      <w:r w:rsidRPr="00623DE4">
        <w:t xml:space="preserve">Victoria’s </w:t>
      </w:r>
      <w:r w:rsidRPr="009C2220">
        <w:t>I</w:t>
      </w:r>
      <w:r w:rsidRPr="00A826DA">
        <w:t>nner South East</w:t>
      </w:r>
      <w:r>
        <w:t>.</w:t>
      </w:r>
      <w:r>
        <w:rPr>
          <w:rStyle w:val="FootnoteReference"/>
        </w:rPr>
        <w:footnoteReference w:id="6"/>
      </w:r>
      <w:r w:rsidRPr="00A826DA">
        <w:t xml:space="preserve"> </w:t>
      </w:r>
      <w:r>
        <w:t xml:space="preserve">These exhaustions </w:t>
      </w:r>
      <w:r w:rsidRPr="00623DE4">
        <w:t>could result in cost increases in Greater Melbourne for construction activities that utilise hard rock as these resources are sought from further afield.</w:t>
      </w:r>
    </w:p>
    <w:p w:rsidR="0068395B" w:rsidRDefault="0068395B" w:rsidP="0068395B">
      <w:pPr>
        <w:pStyle w:val="ListBullet"/>
      </w:pPr>
      <w:r>
        <w:t xml:space="preserve">To avoid the realisation of supply constraints flowing from resource exhaustion, and therefore the flow-on negative impacts this will have on infrastructure development (including residential and commercial construction) and potential upward pricing pressures, it will be necessary to protect or develop new resource deposits in the regions identified in </w:t>
      </w:r>
      <w:r w:rsidR="00424954">
        <w:fldChar w:fldCharType="begin"/>
      </w:r>
      <w:r w:rsidR="00424954">
        <w:instrText xml:space="preserve"> REF _Ref451239558 \h </w:instrText>
      </w:r>
      <w:r w:rsidR="00424954">
        <w:fldChar w:fldCharType="separate"/>
      </w:r>
      <w:r w:rsidR="00E22E13">
        <w:t xml:space="preserve">Figure </w:t>
      </w:r>
      <w:r w:rsidR="00E22E13">
        <w:rPr>
          <w:noProof/>
        </w:rPr>
        <w:t>2</w:t>
      </w:r>
      <w:r w:rsidR="00424954">
        <w:fldChar w:fldCharType="end"/>
      </w:r>
      <w:r w:rsidR="00424954">
        <w:t xml:space="preserve"> </w:t>
      </w:r>
      <w:r>
        <w:t>above.</w:t>
      </w:r>
    </w:p>
    <w:p w:rsidR="0068395B" w:rsidRDefault="0068395B" w:rsidP="0068395B">
      <w:pPr>
        <w:pStyle w:val="ListBullet"/>
      </w:pPr>
      <w:r>
        <w:t>If market price implications were to be considered, and the industry experiences an average increase of 10% in the cost of extractive resources resulting from supply constraints, we would expect to see an average 3.5%</w:t>
      </w:r>
      <w:r>
        <w:rPr>
          <w:rStyle w:val="FootnoteReference"/>
        </w:rPr>
        <w:footnoteReference w:id="7"/>
      </w:r>
      <w:r>
        <w:t xml:space="preserve"> increase of project costs across the State. This would mean that the costs of a new $1 billion road project in Victoria could be $35 million higher. </w:t>
      </w:r>
    </w:p>
    <w:p w:rsidR="0068395B" w:rsidRDefault="0068395B" w:rsidP="0068395B">
      <w:pPr>
        <w:pStyle w:val="ListBullet"/>
      </w:pPr>
      <w:r>
        <w:t xml:space="preserve">Supplementary to transport cost increases, the nearly doubling of demand for extractive resources over the 2015-2050 period will lead to an increase in the need for transport infrastructure to transport resources from quarries to the sources of demand. This may warrant examination of the need to support additional infrastructure to support this. Where demand is sourced from further afield in future, further infrastructure upgrades could be required to support delivery of this material.   </w:t>
      </w:r>
    </w:p>
    <w:p w:rsidR="0068395B" w:rsidRDefault="0068395B" w:rsidP="0068395B">
      <w:pPr>
        <w:pStyle w:val="ListBullet"/>
      </w:pPr>
      <w:r>
        <w:t xml:space="preserve">If quarry developments in the above identified areas of critical supply are not supported, this could lead to the potential supply shortfalls being realised. In turn this will have flow on effects to the industries which rely heavily on these resources, including building construction (residential and non-residential) and engineering construction (transport, energy and utilities). </w:t>
      </w:r>
    </w:p>
    <w:p w:rsidR="0068395B" w:rsidRDefault="0068395B" w:rsidP="0068395B">
      <w:pPr>
        <w:pStyle w:val="ListBullet"/>
      </w:pPr>
      <w:r>
        <w:t xml:space="preserve">In addition to these direct effects, there will be wider impacts on the entire supply chain including industries which support the construction sector (e.g. supplier of services to the construction industry) as well as households across Victoria (e.g. employment and wages and salaries may be affected). </w:t>
      </w:r>
    </w:p>
    <w:p w:rsidR="0068395B" w:rsidRDefault="0068395B" w:rsidP="0068395B">
      <w:pPr>
        <w:pStyle w:val="ListBullet"/>
      </w:pPr>
      <w:r>
        <w:t xml:space="preserve">These impacts would likely have a material effect on the broader economy through changes in levels of economic growth, as measured by GSP, household consumption and employment. However, these broader impacts have not been considered in this study. </w:t>
      </w:r>
    </w:p>
    <w:p w:rsidR="0068395B" w:rsidRDefault="0068395B" w:rsidP="0068395B">
      <w:pPr>
        <w:pStyle w:val="PwCNormal"/>
      </w:pPr>
      <w:r>
        <w:t xml:space="preserve"> </w:t>
      </w:r>
    </w:p>
    <w:p w:rsidR="0068395B" w:rsidRDefault="0068395B" w:rsidP="0068395B">
      <w:pPr>
        <w:pStyle w:val="PwCNormal"/>
        <w:sectPr w:rsidR="0068395B" w:rsidSect="00424954">
          <w:headerReference w:type="even" r:id="rId12"/>
          <w:headerReference w:type="default" r:id="rId13"/>
          <w:footerReference w:type="even" r:id="rId14"/>
          <w:footerReference w:type="default" r:id="rId15"/>
          <w:headerReference w:type="first" r:id="rId16"/>
          <w:footerReference w:type="first" r:id="rId17"/>
          <w:pgSz w:w="11907" w:h="16840" w:code="9"/>
          <w:pgMar w:top="1588" w:right="1843" w:bottom="1418" w:left="1843" w:header="567" w:footer="567" w:gutter="0"/>
          <w:pgNumType w:fmt="lowerRoman" w:start="1"/>
          <w:cols w:space="227"/>
          <w:titlePg/>
          <w:docGrid w:linePitch="286"/>
        </w:sectPr>
      </w:pPr>
    </w:p>
    <w:p w:rsidR="008561EE" w:rsidRDefault="00593B6E" w:rsidP="006916CE">
      <w:pPr>
        <w:pStyle w:val="PrefaceTitle"/>
      </w:pPr>
      <w:bookmarkStart w:id="29" w:name="_Toc451239529"/>
      <w:r>
        <w:t>Glossary of key terms</w:t>
      </w:r>
      <w:bookmarkEnd w:id="19"/>
      <w:bookmarkEnd w:id="20"/>
      <w:bookmarkEnd w:id="21"/>
      <w:bookmarkEnd w:id="22"/>
      <w:bookmarkEnd w:id="23"/>
      <w:bookmarkEnd w:id="24"/>
      <w:bookmarkEnd w:id="25"/>
      <w:bookmarkEnd w:id="26"/>
      <w:bookmarkEnd w:id="27"/>
      <w:bookmarkEnd w:id="29"/>
    </w:p>
    <w:tbl>
      <w:tblPr>
        <w:tblStyle w:val="Tables-APBase"/>
        <w:tblW w:w="5000" w:type="pct"/>
        <w:tblLayout w:type="fixed"/>
        <w:tblLook w:val="04A0" w:firstRow="1" w:lastRow="0" w:firstColumn="1" w:lastColumn="0" w:noHBand="0" w:noVBand="1"/>
        <w:tblCaption w:val="Glossary"/>
        <w:tblDescription w:val="DEDJTR means Department of Economic Development, Jobs, Transport and Resources is responsible for leading and facilitating development of Victoria’s earth resources.&#10;Greater Melbourne means Greater Melbourne is defined within the analysis using Australian Bureau of Statistics’ Urban Centre and Locality (UCL) structures. &#10;Melbourne UCL, which has been represented within this report as Greater Melbourne, is comprised of the cluster of smaller urban Statistical Areas 1 (SA1s). By excluding non-urban regions, Melbourne UCL broadly represents Melbourne’s metropolitan area. See http://www.abs.gov.au/ausstats/abs@.nsf/Latestproducts/05773C1D8C9F2022CA257A98001399F7?opendocument for more information.  &#10;Key resource depletion locations means Areas where a significant proportion of the reserves of existing and planned future quarries are exhausted for particular rock types.&#10;LGA means Local Government Area. LGAs are defined by the Departments of Local Government, or their equivalent in each State or territory, excepting the Australian Capital Territory. There are 79 LGAs in Victoria as defined by the Australian Bureau of Statistics (ABS). The ABS approximates the officially defined boundaries with aggregations of Mesh Blocks. The Mesh Block is the smallest unit within the new Australian Statistical Geography Standard (ASGS). Their boundaries are contiguous and cover the whole of Australia without gaps or overlaps. There are approximately 347,600 Mesh Blocks.&#10;Locations critical to supporting Greater Melbourne’s future means Areas that are expected to deliver significant volumes of resource to Greater Melbourne across the analysis period.&#10;Potential supply shortfall represents the difference between the volume of extractive resources a location demands and the supply it receives, for a given rock type and period.&#10;PwC means PricewaterhouseCoopers &#10;Regional LGAs are defined as those LGAs outside the Metropolitan Melbourne boundary. This includes regional city LGAs such as Ballarat and Greater Geelong, along with rural areas such as Corangamite, Indigo and East Gippsland. A full list of LGAs defined as Regional is provided at Appendix F. &#10;Supply locations with significant production levels  means Areas producing large volumes of extractive resources across the analysis period.&#10;Strategic resource locations  means Areas that are identified across two or more strategic resource criteria AND contribute a relatively significant proportion of the State’s supply for a resource or resources.&#10;Taskforce means Extractive Industries Taskforce was established in April 2014 and comprises Victorian Government and industry representatives. The Taskforce’s work program includes identification of substantial extractive resources in Victoria, in particular those of strategic importance to the State.&#10;Threatened rock types  means Extractive resources that are anticipated to be in short supply by the end of the analysis period, based on industry intentions at 2015.&#10;Urban growth area LGAs means The Metropolitan Planning Authority has identified seven Urban Growth Areas within Metropolitan Melbourne, where significant economic development is expected. This includes areas of Melbourne’s fringe such as Melton, Whittlesea and Hume. A full list of LGAs defined as Urban growth areas is provided at Appendix F.  Urban infill area LGAs means The remaining LGAs within Metropolitan Melbourne that are not categorised as Urban growth area LGAs are defined as Urban infill area LGAs. This includes the inner areas of Metropolitan Melbourne including the inner city regions of Yarra, Stonnington, Whitehorse and Moreland. Established urban areas in Metropolitan Melbourne’s suburbs are also considered urban infill. This includes LGAs such as Frankston, Maroondah and Nilumbik. A full list of LGAs defined as Urban infill areas is provided at Appendix F. WA means Extractive industry work authority. Work authorities are required under State legislation for individuals or organisations wishing to carry out an extractive industry, unless exemptions apply.&#10;"/>
      </w:tblPr>
      <w:tblGrid>
        <w:gridCol w:w="1951"/>
        <w:gridCol w:w="6486"/>
      </w:tblGrid>
      <w:tr w:rsidR="00593B6E" w:rsidTr="006422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1" w:type="dxa"/>
          </w:tcPr>
          <w:p w:rsidR="00593B6E" w:rsidRDefault="00593B6E" w:rsidP="006422A3">
            <w:pPr>
              <w:pStyle w:val="TableColumnHeadingSmall"/>
            </w:pPr>
            <w:r>
              <w:t>Term</w:t>
            </w:r>
          </w:p>
        </w:tc>
        <w:tc>
          <w:tcPr>
            <w:tcW w:w="6486" w:type="dxa"/>
          </w:tcPr>
          <w:p w:rsidR="00593B6E" w:rsidRDefault="00593B6E"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t>Definition</w:t>
            </w:r>
          </w:p>
        </w:tc>
      </w:tr>
      <w:tr w:rsidR="00593B6E" w:rsidTr="006422A3">
        <w:tc>
          <w:tcPr>
            <w:tcW w:w="1951" w:type="dxa"/>
          </w:tcPr>
          <w:p w:rsidR="00593B6E" w:rsidRDefault="00593B6E" w:rsidP="006422A3">
            <w:pPr>
              <w:pStyle w:val="TableTextSmall"/>
            </w:pPr>
            <w:r>
              <w:t>DEDJTR</w:t>
            </w:r>
          </w:p>
        </w:tc>
        <w:tc>
          <w:tcPr>
            <w:tcW w:w="6486" w:type="dxa"/>
          </w:tcPr>
          <w:p w:rsidR="00593B6E" w:rsidRDefault="00593B6E" w:rsidP="006422A3">
            <w:pPr>
              <w:pStyle w:val="TableTextSmall"/>
            </w:pPr>
            <w:r>
              <w:t>Department of Economic Development, Jobs, Transport and Resources is</w:t>
            </w:r>
            <w:r w:rsidRPr="00D24F6B">
              <w:rPr>
                <w:snapToGrid/>
                <w:lang w:eastAsia="en-AU"/>
              </w:rPr>
              <w:t xml:space="preserve"> responsible for leading and facilitating development of Victoria’s earth resources.</w:t>
            </w:r>
          </w:p>
        </w:tc>
      </w:tr>
      <w:tr w:rsidR="00374EA8" w:rsidTr="006422A3">
        <w:tc>
          <w:tcPr>
            <w:tcW w:w="1951" w:type="dxa"/>
          </w:tcPr>
          <w:p w:rsidR="00374EA8" w:rsidRDefault="00374EA8" w:rsidP="006422A3">
            <w:pPr>
              <w:pStyle w:val="TableTextSmall"/>
            </w:pPr>
            <w:r>
              <w:t>Greater Melbourne</w:t>
            </w:r>
          </w:p>
        </w:tc>
        <w:tc>
          <w:tcPr>
            <w:tcW w:w="6486" w:type="dxa"/>
          </w:tcPr>
          <w:p w:rsidR="00374EA8" w:rsidRDefault="00374EA8" w:rsidP="006422A3">
            <w:pPr>
              <w:pStyle w:val="TableTextSmall"/>
            </w:pPr>
            <w:r>
              <w:t xml:space="preserve">Greater Melbourne is defined within the analysis using Australian Bureau of Statistics’ Urban Centre and Locality (UCL) structures. Melbourne UCL, which has been represented within this report as Greater Melbourne, is comprised of the cluster of smaller urban Statistical Areas 1 (SA1s). By excluding non-urban regions, Melbourne UCL broadly represents Melbourne’s metropolitan area. See </w:t>
            </w:r>
            <w:hyperlink r:id="rId18" w:history="1">
              <w:r w:rsidRPr="002470E9">
                <w:rPr>
                  <w:rStyle w:val="Hyperlink"/>
                </w:rPr>
                <w:t>http://www.abs.gov.au/ausstats/abs@.nsf/Latestproducts/05773C1D8C9F2022CA257A98001399F7?opendocument</w:t>
              </w:r>
            </w:hyperlink>
            <w:r>
              <w:t xml:space="preserve"> for more information. </w:t>
            </w:r>
          </w:p>
        </w:tc>
      </w:tr>
      <w:tr w:rsidR="00374EA8" w:rsidTr="006422A3">
        <w:tc>
          <w:tcPr>
            <w:tcW w:w="1951" w:type="dxa"/>
          </w:tcPr>
          <w:p w:rsidR="00374EA8" w:rsidRDefault="00374EA8" w:rsidP="006422A3">
            <w:pPr>
              <w:pStyle w:val="TableTextSmall"/>
            </w:pPr>
            <w:r w:rsidRPr="00B15100">
              <w:t>Key resource depletion locations</w:t>
            </w:r>
          </w:p>
        </w:tc>
        <w:tc>
          <w:tcPr>
            <w:tcW w:w="6486" w:type="dxa"/>
          </w:tcPr>
          <w:p w:rsidR="00374EA8" w:rsidRDefault="00374EA8" w:rsidP="006422A3">
            <w:pPr>
              <w:pStyle w:val="TableTextSmall"/>
            </w:pPr>
            <w:r>
              <w:t>A</w:t>
            </w:r>
            <w:r w:rsidRPr="00B15100">
              <w:t>reas where a significant proportion of the reserves of existing and planned future quarries are exhausted for particular rock types.</w:t>
            </w:r>
          </w:p>
        </w:tc>
      </w:tr>
      <w:tr w:rsidR="00374EA8" w:rsidTr="006422A3">
        <w:tc>
          <w:tcPr>
            <w:tcW w:w="1951" w:type="dxa"/>
          </w:tcPr>
          <w:p w:rsidR="00374EA8" w:rsidRDefault="00374EA8" w:rsidP="006422A3">
            <w:pPr>
              <w:pStyle w:val="TableTextSmall"/>
            </w:pPr>
            <w:r>
              <w:t>LGA</w:t>
            </w:r>
          </w:p>
        </w:tc>
        <w:tc>
          <w:tcPr>
            <w:tcW w:w="6486" w:type="dxa"/>
          </w:tcPr>
          <w:p w:rsidR="00374EA8" w:rsidRDefault="00374EA8" w:rsidP="009069AC">
            <w:pPr>
              <w:pStyle w:val="TableTextSmall"/>
            </w:pPr>
            <w:r>
              <w:t xml:space="preserve">Local Government Area. </w:t>
            </w:r>
            <w:r w:rsidRPr="007627E6">
              <w:t xml:space="preserve">LGAs are defined by the Departments of Local Government, or their equivalent in each </w:t>
            </w:r>
            <w:r w:rsidR="009069AC">
              <w:t>S</w:t>
            </w:r>
            <w:r w:rsidRPr="007627E6">
              <w:t xml:space="preserve">tate or territory, excepting the Australian Capital Territory. </w:t>
            </w:r>
            <w:r w:rsidRPr="00B459A4">
              <w:t>There are 79 LGAs in Victoria as defined by the Australian Bureau of Statistics (ABS)</w:t>
            </w:r>
            <w:r w:rsidRPr="007627E6">
              <w:t>. The ABS approximates the officially defined boundaries with aggregations of Mesh Blocks.</w:t>
            </w:r>
            <w:r>
              <w:t xml:space="preserve"> </w:t>
            </w:r>
            <w:r w:rsidRPr="007627E6">
              <w:t>The Mesh Block is the smallest unit within the new Australian Statistical Geography Standard (ASGS). Their boundaries are contiguous and cover the whole of Australia without gaps or overlaps. There are approximately 347,600 Mesh Blocks.</w:t>
            </w:r>
          </w:p>
        </w:tc>
      </w:tr>
      <w:tr w:rsidR="00374EA8" w:rsidTr="006422A3">
        <w:tc>
          <w:tcPr>
            <w:tcW w:w="1951" w:type="dxa"/>
          </w:tcPr>
          <w:p w:rsidR="00374EA8" w:rsidRDefault="00374EA8" w:rsidP="006422A3">
            <w:pPr>
              <w:pStyle w:val="TableTextSmall"/>
            </w:pPr>
            <w:r w:rsidRPr="00B15100">
              <w:t>Locations critical to supporting Greater Melbourne’s future</w:t>
            </w:r>
          </w:p>
        </w:tc>
        <w:tc>
          <w:tcPr>
            <w:tcW w:w="6486" w:type="dxa"/>
          </w:tcPr>
          <w:p w:rsidR="00374EA8" w:rsidRDefault="00374EA8" w:rsidP="006422A3">
            <w:pPr>
              <w:pStyle w:val="TableTextSmall"/>
            </w:pPr>
            <w:r>
              <w:t>Are</w:t>
            </w:r>
            <w:r w:rsidRPr="00B15100">
              <w:t>as that are expected to deliver significant volumes of resource to Greater Melbourne across the analysis period.</w:t>
            </w:r>
          </w:p>
        </w:tc>
      </w:tr>
      <w:tr w:rsidR="00374EA8" w:rsidTr="006422A3">
        <w:tc>
          <w:tcPr>
            <w:tcW w:w="1951" w:type="dxa"/>
          </w:tcPr>
          <w:p w:rsidR="00374EA8" w:rsidRDefault="00374EA8" w:rsidP="006422A3">
            <w:pPr>
              <w:pStyle w:val="TableTextSmall"/>
            </w:pPr>
            <w:r>
              <w:t>Potential supply shortfall</w:t>
            </w:r>
          </w:p>
        </w:tc>
        <w:tc>
          <w:tcPr>
            <w:tcW w:w="6486" w:type="dxa"/>
          </w:tcPr>
          <w:p w:rsidR="00374EA8" w:rsidRDefault="00374EA8" w:rsidP="006422A3">
            <w:pPr>
              <w:pStyle w:val="TableTextSmall"/>
            </w:pPr>
            <w:r>
              <w:t>Represents the difference between the volume of extractive resources a location demands and the supply it receives, for a given rock type and period</w:t>
            </w:r>
            <w:r w:rsidRPr="00B15100">
              <w:t>.</w:t>
            </w:r>
          </w:p>
        </w:tc>
      </w:tr>
      <w:tr w:rsidR="00374EA8" w:rsidTr="006422A3">
        <w:tc>
          <w:tcPr>
            <w:tcW w:w="1951" w:type="dxa"/>
          </w:tcPr>
          <w:p w:rsidR="00374EA8" w:rsidRDefault="00374EA8" w:rsidP="006422A3">
            <w:pPr>
              <w:pStyle w:val="TableTextSmall"/>
            </w:pPr>
            <w:r>
              <w:t>PwC</w:t>
            </w:r>
          </w:p>
        </w:tc>
        <w:tc>
          <w:tcPr>
            <w:tcW w:w="6486" w:type="dxa"/>
          </w:tcPr>
          <w:p w:rsidR="00374EA8" w:rsidRDefault="00374EA8" w:rsidP="00E250D1">
            <w:pPr>
              <w:pStyle w:val="TableTextSmall"/>
            </w:pPr>
            <w:r>
              <w:t xml:space="preserve">PricewaterhouseCoopers </w:t>
            </w:r>
          </w:p>
        </w:tc>
      </w:tr>
      <w:tr w:rsidR="00374EA8" w:rsidTr="006422A3">
        <w:tc>
          <w:tcPr>
            <w:tcW w:w="1951" w:type="dxa"/>
          </w:tcPr>
          <w:p w:rsidR="00374EA8" w:rsidRDefault="00374EA8" w:rsidP="006422A3">
            <w:pPr>
              <w:pStyle w:val="TableTextSmall"/>
            </w:pPr>
            <w:r>
              <w:t>Regional LGAs</w:t>
            </w:r>
          </w:p>
        </w:tc>
        <w:tc>
          <w:tcPr>
            <w:tcW w:w="6486" w:type="dxa"/>
          </w:tcPr>
          <w:p w:rsidR="00374EA8" w:rsidRDefault="00374EA8" w:rsidP="006422A3">
            <w:pPr>
              <w:pStyle w:val="TableTextSmall"/>
            </w:pPr>
            <w:r>
              <w:t xml:space="preserve">Regional LGAs are defined as those LGAs outside the Metropolitan Melbourne boundary. This includes regional city LGAs such as Ballarat and Greater Geelong, along with rural areas such as Corangamite, Indigo and East Gippsland. A full list of LGAs defined as Regional is provided at </w:t>
            </w:r>
            <w:r>
              <w:fldChar w:fldCharType="begin"/>
            </w:r>
            <w:r>
              <w:instrText xml:space="preserve"> REF _Ref448244143 \n \h </w:instrText>
            </w:r>
            <w:r>
              <w:fldChar w:fldCharType="separate"/>
            </w:r>
            <w:r w:rsidR="00E22E13">
              <w:t>Appendix F</w:t>
            </w:r>
            <w:r>
              <w:fldChar w:fldCharType="end"/>
            </w:r>
            <w:r>
              <w:t>.</w:t>
            </w:r>
          </w:p>
        </w:tc>
      </w:tr>
      <w:tr w:rsidR="00374EA8" w:rsidTr="006422A3">
        <w:tc>
          <w:tcPr>
            <w:tcW w:w="1951" w:type="dxa"/>
          </w:tcPr>
          <w:p w:rsidR="00374EA8" w:rsidRDefault="00374EA8" w:rsidP="006422A3">
            <w:pPr>
              <w:pStyle w:val="TableTextSmall"/>
            </w:pPr>
            <w:r w:rsidRPr="00BF3B60">
              <w:t xml:space="preserve">Supply locations with significant production levels </w:t>
            </w:r>
          </w:p>
        </w:tc>
        <w:tc>
          <w:tcPr>
            <w:tcW w:w="6486" w:type="dxa"/>
          </w:tcPr>
          <w:p w:rsidR="00374EA8" w:rsidRDefault="00374EA8" w:rsidP="00270900">
            <w:pPr>
              <w:pStyle w:val="TableTextSmall"/>
            </w:pPr>
            <w:r>
              <w:t>A</w:t>
            </w:r>
            <w:r w:rsidRPr="00BF3B60">
              <w:t xml:space="preserve">reas </w:t>
            </w:r>
            <w:r>
              <w:t xml:space="preserve">producing </w:t>
            </w:r>
            <w:r w:rsidRPr="00BF3B60">
              <w:t>large volumes of extractive resources across the analysis period</w:t>
            </w:r>
            <w:r w:rsidR="00270900">
              <w:t>.</w:t>
            </w:r>
          </w:p>
        </w:tc>
      </w:tr>
      <w:tr w:rsidR="00374EA8" w:rsidTr="006422A3">
        <w:tc>
          <w:tcPr>
            <w:tcW w:w="1951" w:type="dxa"/>
          </w:tcPr>
          <w:p w:rsidR="00374EA8" w:rsidRPr="00BF3B60" w:rsidRDefault="00374EA8" w:rsidP="006422A3">
            <w:pPr>
              <w:pStyle w:val="TableTextSmall"/>
            </w:pPr>
            <w:r w:rsidRPr="00BF3B60">
              <w:t xml:space="preserve">Strategic resource locations </w:t>
            </w:r>
          </w:p>
        </w:tc>
        <w:tc>
          <w:tcPr>
            <w:tcW w:w="6486" w:type="dxa"/>
          </w:tcPr>
          <w:p w:rsidR="00374EA8" w:rsidRDefault="00374EA8" w:rsidP="006422A3">
            <w:pPr>
              <w:pStyle w:val="TableTextSmall"/>
            </w:pPr>
            <w:r>
              <w:t>A</w:t>
            </w:r>
            <w:r w:rsidRPr="00BF3B60">
              <w:t>reas that are identified across two or more strategic resource criteria AND contribute a relatively significant proportion of the State’s supply for a resource or resources.</w:t>
            </w:r>
          </w:p>
        </w:tc>
      </w:tr>
      <w:tr w:rsidR="00374EA8" w:rsidTr="006422A3">
        <w:tc>
          <w:tcPr>
            <w:tcW w:w="1951" w:type="dxa"/>
          </w:tcPr>
          <w:p w:rsidR="00374EA8" w:rsidRPr="00BF3B60" w:rsidRDefault="00374EA8" w:rsidP="006422A3">
            <w:pPr>
              <w:pStyle w:val="TableTextSmall"/>
            </w:pPr>
            <w:r>
              <w:t>Taskforce</w:t>
            </w:r>
          </w:p>
        </w:tc>
        <w:tc>
          <w:tcPr>
            <w:tcW w:w="6486" w:type="dxa"/>
          </w:tcPr>
          <w:p w:rsidR="00374EA8" w:rsidRDefault="00374EA8" w:rsidP="006422A3">
            <w:pPr>
              <w:pStyle w:val="TableTextSmall"/>
            </w:pPr>
            <w:r>
              <w:t>Extractive Industries Taskforce was established in April 2014 and comprises Victorian Government and industry representatives. The Taskforce’s work program includes identification of substantial extractive resources in Victoria, in particular those of strategic importance to the State.</w:t>
            </w:r>
          </w:p>
        </w:tc>
      </w:tr>
      <w:tr w:rsidR="00374EA8" w:rsidTr="006422A3">
        <w:tc>
          <w:tcPr>
            <w:tcW w:w="1951" w:type="dxa"/>
          </w:tcPr>
          <w:p w:rsidR="00374EA8" w:rsidRDefault="00374EA8" w:rsidP="006422A3">
            <w:pPr>
              <w:pStyle w:val="TableTextSmall"/>
            </w:pPr>
            <w:r w:rsidRPr="00626E5F">
              <w:t xml:space="preserve">Threatened rock types </w:t>
            </w:r>
          </w:p>
        </w:tc>
        <w:tc>
          <w:tcPr>
            <w:tcW w:w="6486" w:type="dxa"/>
          </w:tcPr>
          <w:p w:rsidR="00374EA8" w:rsidRPr="006916CE" w:rsidRDefault="00374EA8" w:rsidP="00546EA3">
            <w:pPr>
              <w:pStyle w:val="TableTextSmall"/>
            </w:pPr>
            <w:r>
              <w:t>Extractive resources that are anticipated to be in short supply by the end of the analysis period, based on industry intentions at 2015.</w:t>
            </w:r>
          </w:p>
        </w:tc>
      </w:tr>
      <w:tr w:rsidR="00374EA8" w:rsidTr="006422A3">
        <w:tc>
          <w:tcPr>
            <w:tcW w:w="1951" w:type="dxa"/>
          </w:tcPr>
          <w:p w:rsidR="00374EA8" w:rsidRDefault="00374EA8" w:rsidP="006422A3">
            <w:pPr>
              <w:pStyle w:val="TableTextSmall"/>
            </w:pPr>
            <w:r>
              <w:t>Urban growth area LGAs</w:t>
            </w:r>
          </w:p>
        </w:tc>
        <w:tc>
          <w:tcPr>
            <w:tcW w:w="6486" w:type="dxa"/>
          </w:tcPr>
          <w:p w:rsidR="00374EA8" w:rsidRPr="00930699" w:rsidDel="00930699" w:rsidRDefault="00374EA8" w:rsidP="00546EA3">
            <w:pPr>
              <w:pStyle w:val="TableTextSmall"/>
            </w:pPr>
            <w:r w:rsidRPr="006916CE">
              <w:t>The Metropolitan Planning Authority has identified seven Urban Growth Areas within Metropolitan Melbourne, where significant economic development is expecte</w:t>
            </w:r>
            <w:r w:rsidRPr="00546EA3">
              <w:t xml:space="preserve">d. This includes </w:t>
            </w:r>
            <w:r>
              <w:t xml:space="preserve">areas of Melbourne’s fringe such as Melton, Whittlesea and Hume. A full list of LGAs defined as Urban growth areas is provided at </w:t>
            </w:r>
            <w:r>
              <w:fldChar w:fldCharType="begin"/>
            </w:r>
            <w:r>
              <w:instrText xml:space="preserve"> REF _Ref448244143 \n \h </w:instrText>
            </w:r>
            <w:r>
              <w:fldChar w:fldCharType="separate"/>
            </w:r>
            <w:r w:rsidR="00E22E13">
              <w:t>Appendix F</w:t>
            </w:r>
            <w:r>
              <w:fldChar w:fldCharType="end"/>
            </w:r>
            <w:r>
              <w:t xml:space="preserve">. </w:t>
            </w:r>
          </w:p>
        </w:tc>
      </w:tr>
      <w:tr w:rsidR="00374EA8" w:rsidTr="006422A3">
        <w:tc>
          <w:tcPr>
            <w:tcW w:w="1951" w:type="dxa"/>
          </w:tcPr>
          <w:p w:rsidR="00374EA8" w:rsidRDefault="00374EA8" w:rsidP="006422A3">
            <w:pPr>
              <w:pStyle w:val="TableTextSmall"/>
            </w:pPr>
            <w:r>
              <w:t>Urban infill area LGAs</w:t>
            </w:r>
          </w:p>
        </w:tc>
        <w:tc>
          <w:tcPr>
            <w:tcW w:w="6486" w:type="dxa"/>
          </w:tcPr>
          <w:p w:rsidR="00374EA8" w:rsidRPr="00930699" w:rsidRDefault="00374EA8" w:rsidP="00546EA3">
            <w:pPr>
              <w:pStyle w:val="TableTextSmall"/>
            </w:pPr>
            <w:r>
              <w:t xml:space="preserve">The remaining LGAs within Metropolitan Melbourne that are not categorised as Urban growth area LGAs are defined as Urban infill area LGAs. This includes the inner areas of Metropolitan Melbourne including the inner city regions of Yarra, Stonnington, Whitehorse and Moreland. Established urban areas in Metropolitan Melbourne’s suburbs are also considered urban infill. This includes LGAs such as Frankston, Maroondah and Nilumbik. A full list of LGAs defined as Urban infill areas is provided at </w:t>
            </w:r>
            <w:r>
              <w:fldChar w:fldCharType="begin"/>
            </w:r>
            <w:r>
              <w:instrText xml:space="preserve"> REF _Ref448244143 \n \h </w:instrText>
            </w:r>
            <w:r>
              <w:fldChar w:fldCharType="separate"/>
            </w:r>
            <w:r w:rsidR="00E22E13">
              <w:t>Appendix F</w:t>
            </w:r>
            <w:r>
              <w:fldChar w:fldCharType="end"/>
            </w:r>
            <w:r>
              <w:t>.</w:t>
            </w:r>
          </w:p>
        </w:tc>
      </w:tr>
      <w:tr w:rsidR="00374EA8" w:rsidTr="006422A3">
        <w:tc>
          <w:tcPr>
            <w:tcW w:w="1951" w:type="dxa"/>
          </w:tcPr>
          <w:p w:rsidR="00374EA8" w:rsidRDefault="00374EA8" w:rsidP="006422A3">
            <w:pPr>
              <w:pStyle w:val="TableTextSmall"/>
            </w:pPr>
            <w:r>
              <w:t>WA</w:t>
            </w:r>
          </w:p>
        </w:tc>
        <w:tc>
          <w:tcPr>
            <w:tcW w:w="6486" w:type="dxa"/>
          </w:tcPr>
          <w:p w:rsidR="00374EA8" w:rsidRDefault="00374EA8" w:rsidP="006422A3">
            <w:pPr>
              <w:pStyle w:val="TableTextSmall"/>
            </w:pPr>
            <w:r>
              <w:t>Extractive industry work authority. Work authorities are required under State legislation for individuals or organisations wishing to carry out an extractive industry, unless exemptions apply.</w:t>
            </w:r>
          </w:p>
        </w:tc>
      </w:tr>
    </w:tbl>
    <w:p w:rsidR="00F23ECB" w:rsidRDefault="00F23ECB">
      <w:pPr>
        <w:pStyle w:val="PwCNormal"/>
        <w:sectPr w:rsidR="00F23ECB" w:rsidSect="001A7D05">
          <w:pgSz w:w="11907" w:h="16840" w:code="9"/>
          <w:pgMar w:top="1588" w:right="1843" w:bottom="1418" w:left="1843" w:header="567" w:footer="567" w:gutter="0"/>
          <w:pgNumType w:fmt="lowerRoman"/>
          <w:cols w:space="227"/>
          <w:titlePg/>
          <w:docGrid w:linePitch="286"/>
        </w:sectPr>
      </w:pPr>
    </w:p>
    <w:bookmarkEnd w:id="17"/>
    <w:p w:rsidR="004F0878" w:rsidRPr="004F0878" w:rsidRDefault="004F0878" w:rsidP="004F0878">
      <w:pPr>
        <w:pStyle w:val="TOCtitle"/>
      </w:pPr>
      <w:r w:rsidRPr="00FC2C77">
        <w:t>Conten</w:t>
      </w:r>
      <w:bookmarkStart w:id="30" w:name="TOC"/>
      <w:bookmarkEnd w:id="30"/>
      <w:r w:rsidRPr="00FC2C77">
        <w:t>ts</w:t>
      </w:r>
      <w:bookmarkStart w:id="31" w:name="SmallDoc"/>
      <w:bookmarkEnd w:id="31"/>
    </w:p>
    <w:p w:rsidR="00424954" w:rsidRPr="00424954" w:rsidRDefault="00175485">
      <w:pPr>
        <w:pStyle w:val="TOC2"/>
        <w:rPr>
          <w:noProof/>
        </w:rPr>
      </w:pPr>
      <w:r>
        <w:fldChar w:fldCharType="begin"/>
      </w:r>
      <w:r>
        <w:instrText xml:space="preserve"> TOC \h \t "Heading 1,1,Heading 2 No spacing,2,Heading 2,2,Heading 3,3,Heading 4,4,Preface Title,2" \*Charformat </w:instrText>
      </w:r>
      <w:r>
        <w:fldChar w:fldCharType="separate"/>
      </w:r>
      <w:hyperlink w:anchor="_Toc451239527" w:history="1">
        <w:r w:rsidR="00424954" w:rsidRPr="00424954">
          <w:rPr>
            <w:noProof/>
          </w:rPr>
          <w:t>Disclaimer</w:t>
        </w:r>
        <w:r w:rsidR="00424954">
          <w:rPr>
            <w:noProof/>
          </w:rPr>
          <w:tab/>
        </w:r>
        <w:r w:rsidR="00424954">
          <w:rPr>
            <w:noProof/>
          </w:rPr>
          <w:fldChar w:fldCharType="begin"/>
        </w:r>
        <w:r w:rsidR="00424954">
          <w:rPr>
            <w:noProof/>
          </w:rPr>
          <w:instrText xml:space="preserve"> PAGEREF _Toc451239527 \h </w:instrText>
        </w:r>
        <w:r w:rsidR="00424954">
          <w:rPr>
            <w:noProof/>
          </w:rPr>
        </w:r>
        <w:r w:rsidR="00424954">
          <w:rPr>
            <w:noProof/>
          </w:rPr>
          <w:fldChar w:fldCharType="separate"/>
        </w:r>
        <w:r w:rsidR="00E22E13">
          <w:rPr>
            <w:noProof/>
          </w:rPr>
          <w:t>i</w:t>
        </w:r>
        <w:r w:rsidR="00424954">
          <w:rPr>
            <w:noProof/>
          </w:rPr>
          <w:fldChar w:fldCharType="end"/>
        </w:r>
      </w:hyperlink>
    </w:p>
    <w:p w:rsidR="00424954" w:rsidRPr="00424954" w:rsidRDefault="000E16FA">
      <w:pPr>
        <w:pStyle w:val="TOC2"/>
        <w:rPr>
          <w:noProof/>
        </w:rPr>
      </w:pPr>
      <w:hyperlink w:anchor="_Toc451239528" w:history="1">
        <w:r w:rsidR="00424954" w:rsidRPr="00424954">
          <w:rPr>
            <w:noProof/>
          </w:rPr>
          <w:t>Executive Summary</w:t>
        </w:r>
        <w:r w:rsidR="00424954">
          <w:rPr>
            <w:noProof/>
          </w:rPr>
          <w:tab/>
        </w:r>
        <w:r w:rsidR="00424954">
          <w:rPr>
            <w:noProof/>
          </w:rPr>
          <w:fldChar w:fldCharType="begin"/>
        </w:r>
        <w:r w:rsidR="00424954">
          <w:rPr>
            <w:noProof/>
          </w:rPr>
          <w:instrText xml:space="preserve"> PAGEREF _Toc451239528 \h </w:instrText>
        </w:r>
        <w:r w:rsidR="00424954">
          <w:rPr>
            <w:noProof/>
          </w:rPr>
        </w:r>
        <w:r w:rsidR="00424954">
          <w:rPr>
            <w:noProof/>
          </w:rPr>
          <w:fldChar w:fldCharType="separate"/>
        </w:r>
        <w:r w:rsidR="00E22E13">
          <w:rPr>
            <w:noProof/>
          </w:rPr>
          <w:t>ii</w:t>
        </w:r>
        <w:r w:rsidR="00424954">
          <w:rPr>
            <w:noProof/>
          </w:rPr>
          <w:fldChar w:fldCharType="end"/>
        </w:r>
      </w:hyperlink>
    </w:p>
    <w:p w:rsidR="00424954" w:rsidRPr="00424954" w:rsidRDefault="000E16FA">
      <w:pPr>
        <w:pStyle w:val="TOC2"/>
        <w:rPr>
          <w:noProof/>
        </w:rPr>
      </w:pPr>
      <w:hyperlink w:anchor="_Toc451239529" w:history="1">
        <w:r w:rsidR="00424954" w:rsidRPr="00424954">
          <w:rPr>
            <w:noProof/>
          </w:rPr>
          <w:t>Glossary of key terms</w:t>
        </w:r>
        <w:r w:rsidR="00424954">
          <w:rPr>
            <w:noProof/>
          </w:rPr>
          <w:tab/>
        </w:r>
        <w:r w:rsidR="00424954">
          <w:rPr>
            <w:noProof/>
          </w:rPr>
          <w:fldChar w:fldCharType="begin"/>
        </w:r>
        <w:r w:rsidR="00424954">
          <w:rPr>
            <w:noProof/>
          </w:rPr>
          <w:instrText xml:space="preserve"> PAGEREF _Toc451239529 \h </w:instrText>
        </w:r>
        <w:r w:rsidR="00424954">
          <w:rPr>
            <w:noProof/>
          </w:rPr>
        </w:r>
        <w:r w:rsidR="00424954">
          <w:rPr>
            <w:noProof/>
          </w:rPr>
          <w:fldChar w:fldCharType="separate"/>
        </w:r>
        <w:r w:rsidR="00E22E13">
          <w:rPr>
            <w:noProof/>
          </w:rPr>
          <w:t>viii</w:t>
        </w:r>
        <w:r w:rsidR="00424954">
          <w:rPr>
            <w:noProof/>
          </w:rPr>
          <w:fldChar w:fldCharType="end"/>
        </w:r>
      </w:hyperlink>
    </w:p>
    <w:p w:rsidR="00424954" w:rsidRPr="00424954" w:rsidRDefault="000E16FA">
      <w:pPr>
        <w:pStyle w:val="TOC2"/>
        <w:rPr>
          <w:noProof/>
        </w:rPr>
      </w:pPr>
      <w:hyperlink w:anchor="_Toc451239530" w:history="1">
        <w:r w:rsidR="00424954" w:rsidRPr="00424954">
          <w:rPr>
            <w:noProof/>
          </w:rPr>
          <w:t>1</w:t>
        </w:r>
        <w:r w:rsidR="00424954" w:rsidRPr="00424954">
          <w:rPr>
            <w:noProof/>
          </w:rPr>
          <w:tab/>
          <w:t>Introduction</w:t>
        </w:r>
        <w:r w:rsidR="00424954">
          <w:rPr>
            <w:noProof/>
          </w:rPr>
          <w:tab/>
        </w:r>
        <w:r w:rsidR="00424954">
          <w:rPr>
            <w:noProof/>
          </w:rPr>
          <w:fldChar w:fldCharType="begin"/>
        </w:r>
        <w:r w:rsidR="00424954">
          <w:rPr>
            <w:noProof/>
          </w:rPr>
          <w:instrText xml:space="preserve"> PAGEREF _Toc451239530 \h </w:instrText>
        </w:r>
        <w:r w:rsidR="00424954">
          <w:rPr>
            <w:noProof/>
          </w:rPr>
        </w:r>
        <w:r w:rsidR="00424954">
          <w:rPr>
            <w:noProof/>
          </w:rPr>
          <w:fldChar w:fldCharType="separate"/>
        </w:r>
        <w:r w:rsidR="00E22E13">
          <w:rPr>
            <w:noProof/>
          </w:rPr>
          <w:t>1</w:t>
        </w:r>
        <w:r w:rsidR="00424954">
          <w:rPr>
            <w:noProof/>
          </w:rPr>
          <w:fldChar w:fldCharType="end"/>
        </w:r>
      </w:hyperlink>
    </w:p>
    <w:p w:rsidR="00424954" w:rsidRPr="00424954" w:rsidRDefault="000E16FA">
      <w:pPr>
        <w:pStyle w:val="TOC2"/>
        <w:rPr>
          <w:noProof/>
        </w:rPr>
      </w:pPr>
      <w:hyperlink w:anchor="_Toc451239531" w:history="1">
        <w:r w:rsidR="00424954" w:rsidRPr="00424954">
          <w:rPr>
            <w:noProof/>
          </w:rPr>
          <w:t>2</w:t>
        </w:r>
        <w:r w:rsidR="00424954" w:rsidRPr="00424954">
          <w:rPr>
            <w:noProof/>
          </w:rPr>
          <w:tab/>
          <w:t>Methodology</w:t>
        </w:r>
        <w:r w:rsidR="00424954">
          <w:rPr>
            <w:noProof/>
          </w:rPr>
          <w:tab/>
        </w:r>
        <w:r w:rsidR="00424954">
          <w:rPr>
            <w:noProof/>
          </w:rPr>
          <w:fldChar w:fldCharType="begin"/>
        </w:r>
        <w:r w:rsidR="00424954">
          <w:rPr>
            <w:noProof/>
          </w:rPr>
          <w:instrText xml:space="preserve"> PAGEREF _Toc451239531 \h </w:instrText>
        </w:r>
        <w:r w:rsidR="00424954">
          <w:rPr>
            <w:noProof/>
          </w:rPr>
        </w:r>
        <w:r w:rsidR="00424954">
          <w:rPr>
            <w:noProof/>
          </w:rPr>
          <w:fldChar w:fldCharType="separate"/>
        </w:r>
        <w:r w:rsidR="00E22E13">
          <w:rPr>
            <w:noProof/>
          </w:rPr>
          <w:t>4</w:t>
        </w:r>
        <w:r w:rsidR="00424954">
          <w:rPr>
            <w:noProof/>
          </w:rPr>
          <w:fldChar w:fldCharType="end"/>
        </w:r>
      </w:hyperlink>
    </w:p>
    <w:p w:rsidR="00424954" w:rsidRPr="00424954" w:rsidRDefault="000E16FA">
      <w:pPr>
        <w:pStyle w:val="TOC2"/>
        <w:rPr>
          <w:noProof/>
        </w:rPr>
      </w:pPr>
      <w:hyperlink w:anchor="_Toc451239532" w:history="1">
        <w:r w:rsidR="00424954" w:rsidRPr="00424954">
          <w:rPr>
            <w:noProof/>
          </w:rPr>
          <w:t>3</w:t>
        </w:r>
        <w:r w:rsidR="00424954" w:rsidRPr="00424954">
          <w:rPr>
            <w:noProof/>
          </w:rPr>
          <w:tab/>
          <w:t>Extractive resources demand - Key findings</w:t>
        </w:r>
        <w:r w:rsidR="00424954">
          <w:rPr>
            <w:noProof/>
          </w:rPr>
          <w:tab/>
        </w:r>
        <w:r w:rsidR="00424954">
          <w:rPr>
            <w:noProof/>
          </w:rPr>
          <w:fldChar w:fldCharType="begin"/>
        </w:r>
        <w:r w:rsidR="00424954">
          <w:rPr>
            <w:noProof/>
          </w:rPr>
          <w:instrText xml:space="preserve"> PAGEREF _Toc451239532 \h </w:instrText>
        </w:r>
        <w:r w:rsidR="00424954">
          <w:rPr>
            <w:noProof/>
          </w:rPr>
        </w:r>
        <w:r w:rsidR="00424954">
          <w:rPr>
            <w:noProof/>
          </w:rPr>
          <w:fldChar w:fldCharType="separate"/>
        </w:r>
        <w:r w:rsidR="00E22E13">
          <w:rPr>
            <w:noProof/>
          </w:rPr>
          <w:t>16</w:t>
        </w:r>
        <w:r w:rsidR="00424954">
          <w:rPr>
            <w:noProof/>
          </w:rPr>
          <w:fldChar w:fldCharType="end"/>
        </w:r>
      </w:hyperlink>
    </w:p>
    <w:p w:rsidR="00424954" w:rsidRPr="00424954" w:rsidRDefault="000E16FA">
      <w:pPr>
        <w:pStyle w:val="TOC2"/>
        <w:rPr>
          <w:noProof/>
        </w:rPr>
      </w:pPr>
      <w:hyperlink w:anchor="_Toc451239533" w:history="1">
        <w:r w:rsidR="00424954" w:rsidRPr="00424954">
          <w:rPr>
            <w:noProof/>
          </w:rPr>
          <w:t>4</w:t>
        </w:r>
        <w:r w:rsidR="00424954" w:rsidRPr="00424954">
          <w:rPr>
            <w:noProof/>
          </w:rPr>
          <w:tab/>
          <w:t>Integrated demand and supply – high-level  findings</w:t>
        </w:r>
        <w:r w:rsidR="00424954">
          <w:rPr>
            <w:noProof/>
          </w:rPr>
          <w:tab/>
        </w:r>
        <w:r w:rsidR="00424954">
          <w:rPr>
            <w:noProof/>
          </w:rPr>
          <w:fldChar w:fldCharType="begin"/>
        </w:r>
        <w:r w:rsidR="00424954">
          <w:rPr>
            <w:noProof/>
          </w:rPr>
          <w:instrText xml:space="preserve"> PAGEREF _Toc451239533 \h </w:instrText>
        </w:r>
        <w:r w:rsidR="00424954">
          <w:rPr>
            <w:noProof/>
          </w:rPr>
        </w:r>
        <w:r w:rsidR="00424954">
          <w:rPr>
            <w:noProof/>
          </w:rPr>
          <w:fldChar w:fldCharType="separate"/>
        </w:r>
        <w:r w:rsidR="00E22E13">
          <w:rPr>
            <w:noProof/>
          </w:rPr>
          <w:t>28</w:t>
        </w:r>
        <w:r w:rsidR="00424954">
          <w:rPr>
            <w:noProof/>
          </w:rPr>
          <w:fldChar w:fldCharType="end"/>
        </w:r>
      </w:hyperlink>
    </w:p>
    <w:p w:rsidR="00424954" w:rsidRPr="00424954" w:rsidRDefault="000E16FA">
      <w:pPr>
        <w:pStyle w:val="TOC2"/>
        <w:rPr>
          <w:noProof/>
        </w:rPr>
      </w:pPr>
      <w:hyperlink w:anchor="_Toc451239534" w:history="1">
        <w:r w:rsidR="00424954" w:rsidRPr="00424954">
          <w:rPr>
            <w:noProof/>
          </w:rPr>
          <w:t>5</w:t>
        </w:r>
        <w:r w:rsidR="00424954" w:rsidRPr="00424954">
          <w:rPr>
            <w:noProof/>
          </w:rPr>
          <w:tab/>
          <w:t>Strategic Resource Determination</w:t>
        </w:r>
        <w:r w:rsidR="00424954">
          <w:rPr>
            <w:noProof/>
          </w:rPr>
          <w:tab/>
        </w:r>
        <w:r w:rsidR="00424954">
          <w:rPr>
            <w:noProof/>
          </w:rPr>
          <w:fldChar w:fldCharType="begin"/>
        </w:r>
        <w:r w:rsidR="00424954">
          <w:rPr>
            <w:noProof/>
          </w:rPr>
          <w:instrText xml:space="preserve"> PAGEREF _Toc451239534 \h </w:instrText>
        </w:r>
        <w:r w:rsidR="00424954">
          <w:rPr>
            <w:noProof/>
          </w:rPr>
        </w:r>
        <w:r w:rsidR="00424954">
          <w:rPr>
            <w:noProof/>
          </w:rPr>
          <w:fldChar w:fldCharType="separate"/>
        </w:r>
        <w:r w:rsidR="00E22E13">
          <w:rPr>
            <w:noProof/>
          </w:rPr>
          <w:t>41</w:t>
        </w:r>
        <w:r w:rsidR="00424954">
          <w:rPr>
            <w:noProof/>
          </w:rPr>
          <w:fldChar w:fldCharType="end"/>
        </w:r>
      </w:hyperlink>
    </w:p>
    <w:p w:rsidR="00424954" w:rsidRPr="00424954" w:rsidRDefault="000E16FA">
      <w:pPr>
        <w:pStyle w:val="TOC2"/>
        <w:rPr>
          <w:noProof/>
        </w:rPr>
      </w:pPr>
      <w:hyperlink w:anchor="_Toc451239535" w:history="1">
        <w:r w:rsidR="00424954" w:rsidRPr="00424954">
          <w:rPr>
            <w:noProof/>
          </w:rPr>
          <w:t>6</w:t>
        </w:r>
        <w:r w:rsidR="00424954" w:rsidRPr="00424954">
          <w:rPr>
            <w:noProof/>
          </w:rPr>
          <w:tab/>
          <w:t>Scenario analysis</w:t>
        </w:r>
        <w:r w:rsidR="00424954">
          <w:rPr>
            <w:noProof/>
          </w:rPr>
          <w:tab/>
        </w:r>
        <w:r w:rsidR="00424954">
          <w:rPr>
            <w:noProof/>
          </w:rPr>
          <w:fldChar w:fldCharType="begin"/>
        </w:r>
        <w:r w:rsidR="00424954">
          <w:rPr>
            <w:noProof/>
          </w:rPr>
          <w:instrText xml:space="preserve"> PAGEREF _Toc451239535 \h </w:instrText>
        </w:r>
        <w:r w:rsidR="00424954">
          <w:rPr>
            <w:noProof/>
          </w:rPr>
        </w:r>
        <w:r w:rsidR="00424954">
          <w:rPr>
            <w:noProof/>
          </w:rPr>
          <w:fldChar w:fldCharType="separate"/>
        </w:r>
        <w:r w:rsidR="00E22E13">
          <w:rPr>
            <w:noProof/>
          </w:rPr>
          <w:t>81</w:t>
        </w:r>
        <w:r w:rsidR="00424954">
          <w:rPr>
            <w:noProof/>
          </w:rPr>
          <w:fldChar w:fldCharType="end"/>
        </w:r>
      </w:hyperlink>
    </w:p>
    <w:p w:rsidR="00424954" w:rsidRPr="00424954" w:rsidRDefault="000E16FA">
      <w:pPr>
        <w:pStyle w:val="TOC2"/>
        <w:rPr>
          <w:noProof/>
        </w:rPr>
      </w:pPr>
      <w:hyperlink w:anchor="_Toc451239536" w:history="1">
        <w:r w:rsidR="00424954" w:rsidRPr="00424954">
          <w:rPr>
            <w:noProof/>
          </w:rPr>
          <w:t>7</w:t>
        </w:r>
        <w:r w:rsidR="00424954" w:rsidRPr="00424954">
          <w:rPr>
            <w:noProof/>
          </w:rPr>
          <w:tab/>
          <w:t>Transport cost analysis</w:t>
        </w:r>
        <w:r w:rsidR="00424954">
          <w:rPr>
            <w:noProof/>
          </w:rPr>
          <w:tab/>
        </w:r>
        <w:r w:rsidR="00424954">
          <w:rPr>
            <w:noProof/>
          </w:rPr>
          <w:fldChar w:fldCharType="begin"/>
        </w:r>
        <w:r w:rsidR="00424954">
          <w:rPr>
            <w:noProof/>
          </w:rPr>
          <w:instrText xml:space="preserve"> PAGEREF _Toc451239536 \h </w:instrText>
        </w:r>
        <w:r w:rsidR="00424954">
          <w:rPr>
            <w:noProof/>
          </w:rPr>
        </w:r>
        <w:r w:rsidR="00424954">
          <w:rPr>
            <w:noProof/>
          </w:rPr>
          <w:fldChar w:fldCharType="separate"/>
        </w:r>
        <w:r w:rsidR="00E22E13">
          <w:rPr>
            <w:noProof/>
          </w:rPr>
          <w:t>86</w:t>
        </w:r>
        <w:r w:rsidR="00424954">
          <w:rPr>
            <w:noProof/>
          </w:rPr>
          <w:fldChar w:fldCharType="end"/>
        </w:r>
      </w:hyperlink>
    </w:p>
    <w:p w:rsidR="00424954" w:rsidRPr="00424954" w:rsidRDefault="000E16FA">
      <w:pPr>
        <w:pStyle w:val="TOC2"/>
        <w:rPr>
          <w:noProof/>
        </w:rPr>
      </w:pPr>
      <w:hyperlink w:anchor="_Toc451239537" w:history="1">
        <w:r w:rsidR="00424954" w:rsidRPr="00424954">
          <w:rPr>
            <w:noProof/>
          </w:rPr>
          <w:t>8</w:t>
        </w:r>
        <w:r w:rsidR="00424954" w:rsidRPr="00424954">
          <w:rPr>
            <w:noProof/>
          </w:rPr>
          <w:tab/>
          <w:t>Conclusions</w:t>
        </w:r>
        <w:r w:rsidR="00424954">
          <w:rPr>
            <w:noProof/>
          </w:rPr>
          <w:tab/>
        </w:r>
        <w:r w:rsidR="00424954">
          <w:rPr>
            <w:noProof/>
          </w:rPr>
          <w:fldChar w:fldCharType="begin"/>
        </w:r>
        <w:r w:rsidR="00424954">
          <w:rPr>
            <w:noProof/>
          </w:rPr>
          <w:instrText xml:space="preserve"> PAGEREF _Toc451239537 \h </w:instrText>
        </w:r>
        <w:r w:rsidR="00424954">
          <w:rPr>
            <w:noProof/>
          </w:rPr>
        </w:r>
        <w:r w:rsidR="00424954">
          <w:rPr>
            <w:noProof/>
          </w:rPr>
          <w:fldChar w:fldCharType="separate"/>
        </w:r>
        <w:r w:rsidR="00E22E13">
          <w:rPr>
            <w:noProof/>
          </w:rPr>
          <w:t>98</w:t>
        </w:r>
        <w:r w:rsidR="00424954">
          <w:rPr>
            <w:noProof/>
          </w:rPr>
          <w:fldChar w:fldCharType="end"/>
        </w:r>
      </w:hyperlink>
    </w:p>
    <w:p w:rsidR="00424954" w:rsidRPr="00424954" w:rsidRDefault="000E16FA">
      <w:pPr>
        <w:pStyle w:val="TOC4"/>
        <w:rPr>
          <w:noProof/>
        </w:rPr>
      </w:pPr>
      <w:hyperlink w:anchor="_Toc451239538" w:history="1">
        <w:r w:rsidR="00424954" w:rsidRPr="00424954">
          <w:rPr>
            <w:noProof/>
          </w:rPr>
          <w:t>Appendix A</w:t>
        </w:r>
        <w:r w:rsidR="00424954" w:rsidRPr="00424954">
          <w:rPr>
            <w:noProof/>
          </w:rPr>
          <w:tab/>
          <w:t>Response confidentiality</w:t>
        </w:r>
        <w:r w:rsidR="00424954">
          <w:rPr>
            <w:noProof/>
          </w:rPr>
          <w:tab/>
        </w:r>
        <w:r w:rsidR="00424954">
          <w:rPr>
            <w:noProof/>
          </w:rPr>
          <w:fldChar w:fldCharType="begin"/>
        </w:r>
        <w:r w:rsidR="00424954">
          <w:rPr>
            <w:noProof/>
          </w:rPr>
          <w:instrText xml:space="preserve"> PAGEREF _Toc451239538 \h </w:instrText>
        </w:r>
        <w:r w:rsidR="00424954">
          <w:rPr>
            <w:noProof/>
          </w:rPr>
        </w:r>
        <w:r w:rsidR="00424954">
          <w:rPr>
            <w:noProof/>
          </w:rPr>
          <w:fldChar w:fldCharType="separate"/>
        </w:r>
        <w:r w:rsidR="00E22E13">
          <w:rPr>
            <w:noProof/>
          </w:rPr>
          <w:t>102</w:t>
        </w:r>
        <w:r w:rsidR="00424954">
          <w:rPr>
            <w:noProof/>
          </w:rPr>
          <w:fldChar w:fldCharType="end"/>
        </w:r>
      </w:hyperlink>
    </w:p>
    <w:p w:rsidR="00424954" w:rsidRPr="00424954" w:rsidRDefault="000E16FA">
      <w:pPr>
        <w:pStyle w:val="TOC4"/>
        <w:rPr>
          <w:noProof/>
        </w:rPr>
      </w:pPr>
      <w:hyperlink w:anchor="_Toc451239539" w:history="1">
        <w:r w:rsidR="00424954" w:rsidRPr="00424954">
          <w:rPr>
            <w:noProof/>
          </w:rPr>
          <w:t>Appendix B</w:t>
        </w:r>
        <w:r w:rsidR="00424954" w:rsidRPr="00424954">
          <w:rPr>
            <w:noProof/>
          </w:rPr>
          <w:tab/>
          <w:t>Assumptions</w:t>
        </w:r>
        <w:r w:rsidR="00424954">
          <w:rPr>
            <w:noProof/>
          </w:rPr>
          <w:tab/>
        </w:r>
        <w:r w:rsidR="00424954">
          <w:rPr>
            <w:noProof/>
          </w:rPr>
          <w:fldChar w:fldCharType="begin"/>
        </w:r>
        <w:r w:rsidR="00424954">
          <w:rPr>
            <w:noProof/>
          </w:rPr>
          <w:instrText xml:space="preserve"> PAGEREF _Toc451239539 \h </w:instrText>
        </w:r>
        <w:r w:rsidR="00424954">
          <w:rPr>
            <w:noProof/>
          </w:rPr>
        </w:r>
        <w:r w:rsidR="00424954">
          <w:rPr>
            <w:noProof/>
          </w:rPr>
          <w:fldChar w:fldCharType="separate"/>
        </w:r>
        <w:r w:rsidR="00E22E13">
          <w:rPr>
            <w:noProof/>
          </w:rPr>
          <w:t>104</w:t>
        </w:r>
        <w:r w:rsidR="00424954">
          <w:rPr>
            <w:noProof/>
          </w:rPr>
          <w:fldChar w:fldCharType="end"/>
        </w:r>
      </w:hyperlink>
    </w:p>
    <w:p w:rsidR="00424954" w:rsidRPr="00424954" w:rsidRDefault="000E16FA">
      <w:pPr>
        <w:pStyle w:val="TOC4"/>
        <w:rPr>
          <w:noProof/>
        </w:rPr>
      </w:pPr>
      <w:hyperlink w:anchor="_Toc451239540" w:history="1">
        <w:r w:rsidR="00424954" w:rsidRPr="00424954">
          <w:rPr>
            <w:noProof/>
          </w:rPr>
          <w:t>Appendix C</w:t>
        </w:r>
        <w:r w:rsidR="00424954" w:rsidRPr="00424954">
          <w:rPr>
            <w:noProof/>
          </w:rPr>
          <w:tab/>
          <w:t>Detailed supply study methodology</w:t>
        </w:r>
        <w:r w:rsidR="00424954">
          <w:rPr>
            <w:noProof/>
          </w:rPr>
          <w:tab/>
        </w:r>
        <w:r w:rsidR="00424954">
          <w:rPr>
            <w:noProof/>
          </w:rPr>
          <w:fldChar w:fldCharType="begin"/>
        </w:r>
        <w:r w:rsidR="00424954">
          <w:rPr>
            <w:noProof/>
          </w:rPr>
          <w:instrText xml:space="preserve"> PAGEREF _Toc451239540 \h </w:instrText>
        </w:r>
        <w:r w:rsidR="00424954">
          <w:rPr>
            <w:noProof/>
          </w:rPr>
        </w:r>
        <w:r w:rsidR="00424954">
          <w:rPr>
            <w:noProof/>
          </w:rPr>
          <w:fldChar w:fldCharType="separate"/>
        </w:r>
        <w:r w:rsidR="00E22E13">
          <w:rPr>
            <w:noProof/>
          </w:rPr>
          <w:t>107</w:t>
        </w:r>
        <w:r w:rsidR="00424954">
          <w:rPr>
            <w:noProof/>
          </w:rPr>
          <w:fldChar w:fldCharType="end"/>
        </w:r>
      </w:hyperlink>
    </w:p>
    <w:p w:rsidR="00424954" w:rsidRPr="00424954" w:rsidRDefault="000E16FA">
      <w:pPr>
        <w:pStyle w:val="TOC4"/>
        <w:rPr>
          <w:noProof/>
        </w:rPr>
      </w:pPr>
      <w:hyperlink w:anchor="_Toc451239541" w:history="1">
        <w:r w:rsidR="00424954" w:rsidRPr="00424954">
          <w:rPr>
            <w:noProof/>
          </w:rPr>
          <w:t>Appendix D</w:t>
        </w:r>
        <w:r w:rsidR="00424954" w:rsidRPr="00424954">
          <w:rPr>
            <w:noProof/>
          </w:rPr>
          <w:tab/>
          <w:t>Strategic Resource Determination Criteria</w:t>
        </w:r>
        <w:r w:rsidR="00424954">
          <w:rPr>
            <w:noProof/>
          </w:rPr>
          <w:tab/>
        </w:r>
        <w:r w:rsidR="00424954">
          <w:rPr>
            <w:noProof/>
          </w:rPr>
          <w:fldChar w:fldCharType="begin"/>
        </w:r>
        <w:r w:rsidR="00424954">
          <w:rPr>
            <w:noProof/>
          </w:rPr>
          <w:instrText xml:space="preserve"> PAGEREF _Toc451239541 \h </w:instrText>
        </w:r>
        <w:r w:rsidR="00424954">
          <w:rPr>
            <w:noProof/>
          </w:rPr>
        </w:r>
        <w:r w:rsidR="00424954">
          <w:rPr>
            <w:noProof/>
          </w:rPr>
          <w:fldChar w:fldCharType="separate"/>
        </w:r>
        <w:r w:rsidR="00E22E13">
          <w:rPr>
            <w:noProof/>
          </w:rPr>
          <w:t>118</w:t>
        </w:r>
        <w:r w:rsidR="00424954">
          <w:rPr>
            <w:noProof/>
          </w:rPr>
          <w:fldChar w:fldCharType="end"/>
        </w:r>
      </w:hyperlink>
    </w:p>
    <w:p w:rsidR="00424954" w:rsidRPr="00424954" w:rsidRDefault="000E16FA">
      <w:pPr>
        <w:pStyle w:val="TOC4"/>
        <w:rPr>
          <w:noProof/>
        </w:rPr>
      </w:pPr>
      <w:hyperlink w:anchor="_Toc451239542" w:history="1">
        <w:r w:rsidR="00424954" w:rsidRPr="00424954">
          <w:rPr>
            <w:noProof/>
          </w:rPr>
          <w:t>Appendix E</w:t>
        </w:r>
        <w:r w:rsidR="00424954" w:rsidRPr="00424954">
          <w:rPr>
            <w:noProof/>
          </w:rPr>
          <w:tab/>
          <w:t>Demand analysis report</w:t>
        </w:r>
        <w:r w:rsidR="00424954">
          <w:rPr>
            <w:noProof/>
          </w:rPr>
          <w:tab/>
        </w:r>
        <w:r w:rsidR="00424954">
          <w:rPr>
            <w:noProof/>
          </w:rPr>
          <w:fldChar w:fldCharType="begin"/>
        </w:r>
        <w:r w:rsidR="00424954">
          <w:rPr>
            <w:noProof/>
          </w:rPr>
          <w:instrText xml:space="preserve"> PAGEREF _Toc451239542 \h </w:instrText>
        </w:r>
        <w:r w:rsidR="00424954">
          <w:rPr>
            <w:noProof/>
          </w:rPr>
        </w:r>
        <w:r w:rsidR="00424954">
          <w:rPr>
            <w:noProof/>
          </w:rPr>
          <w:fldChar w:fldCharType="separate"/>
        </w:r>
        <w:r w:rsidR="00E22E13">
          <w:rPr>
            <w:noProof/>
          </w:rPr>
          <w:t>120</w:t>
        </w:r>
        <w:r w:rsidR="00424954">
          <w:rPr>
            <w:noProof/>
          </w:rPr>
          <w:fldChar w:fldCharType="end"/>
        </w:r>
      </w:hyperlink>
    </w:p>
    <w:p w:rsidR="00424954" w:rsidRPr="00424954" w:rsidRDefault="000E16FA">
      <w:pPr>
        <w:pStyle w:val="TOC4"/>
        <w:rPr>
          <w:noProof/>
        </w:rPr>
      </w:pPr>
      <w:hyperlink w:anchor="_Toc451239543" w:history="1">
        <w:r w:rsidR="00424954" w:rsidRPr="00424954">
          <w:rPr>
            <w:noProof/>
          </w:rPr>
          <w:t>Appendix F</w:t>
        </w:r>
        <w:r w:rsidR="00424954" w:rsidRPr="00424954">
          <w:rPr>
            <w:noProof/>
          </w:rPr>
          <w:tab/>
          <w:t>Classification of LGAs used</w:t>
        </w:r>
        <w:r w:rsidR="00424954">
          <w:rPr>
            <w:noProof/>
          </w:rPr>
          <w:tab/>
        </w:r>
        <w:r w:rsidR="00424954">
          <w:rPr>
            <w:noProof/>
          </w:rPr>
          <w:fldChar w:fldCharType="begin"/>
        </w:r>
        <w:r w:rsidR="00424954">
          <w:rPr>
            <w:noProof/>
          </w:rPr>
          <w:instrText xml:space="preserve"> PAGEREF _Toc451239543 \h </w:instrText>
        </w:r>
        <w:r w:rsidR="00424954">
          <w:rPr>
            <w:noProof/>
          </w:rPr>
        </w:r>
        <w:r w:rsidR="00424954">
          <w:rPr>
            <w:noProof/>
          </w:rPr>
          <w:fldChar w:fldCharType="separate"/>
        </w:r>
        <w:r w:rsidR="00E22E13">
          <w:rPr>
            <w:noProof/>
          </w:rPr>
          <w:t>121</w:t>
        </w:r>
        <w:r w:rsidR="00424954">
          <w:rPr>
            <w:noProof/>
          </w:rPr>
          <w:fldChar w:fldCharType="end"/>
        </w:r>
      </w:hyperlink>
    </w:p>
    <w:p w:rsidR="004F0878" w:rsidRDefault="00175485" w:rsidP="00245C02">
      <w:pPr>
        <w:pStyle w:val="PwCNormal"/>
        <w:kinsoku/>
        <w:overflowPunct/>
        <w:autoSpaceDE/>
        <w:autoSpaceDN/>
        <w:adjustRightInd/>
        <w:snapToGrid/>
      </w:pPr>
      <w:r>
        <w:fldChar w:fldCharType="end"/>
      </w:r>
    </w:p>
    <w:p w:rsidR="00245C02" w:rsidRDefault="00245C02" w:rsidP="00245C02">
      <w:pPr>
        <w:pStyle w:val="PwCNormal"/>
        <w:kinsoku/>
        <w:overflowPunct/>
        <w:autoSpaceDE/>
        <w:autoSpaceDN/>
        <w:adjustRightInd/>
        <w:snapToGrid/>
      </w:pPr>
    </w:p>
    <w:p w:rsidR="004F0878" w:rsidRPr="00FC2C77" w:rsidRDefault="004F0878" w:rsidP="007625E6">
      <w:pPr>
        <w:pStyle w:val="Coverpulloutframe"/>
        <w:framePr w:wrap="notBeside"/>
        <w:sectPr w:rsidR="004F0878" w:rsidRPr="00FC2C77" w:rsidSect="001A7D05">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588" w:right="1843" w:bottom="1418" w:left="1843" w:header="567" w:footer="567" w:gutter="0"/>
          <w:pgNumType w:fmt="lowerRoman"/>
          <w:cols w:space="720"/>
          <w:titlePg/>
          <w:docGrid w:linePitch="286"/>
        </w:sectPr>
      </w:pPr>
    </w:p>
    <w:p w:rsidR="00247954" w:rsidRDefault="008561EE" w:rsidP="006916CE">
      <w:pPr>
        <w:pStyle w:val="Heading2"/>
        <w:numPr>
          <w:ilvl w:val="1"/>
          <w:numId w:val="53"/>
        </w:numPr>
      </w:pPr>
      <w:bookmarkStart w:id="32" w:name="_Toc445905911"/>
      <w:bookmarkStart w:id="33" w:name="_Toc445906108"/>
      <w:bookmarkStart w:id="34" w:name="_Toc445973752"/>
      <w:bookmarkStart w:id="35" w:name="_Toc447628741"/>
      <w:bookmarkStart w:id="36" w:name="_Toc447630211"/>
      <w:bookmarkStart w:id="37" w:name="_Toc448153176"/>
      <w:bookmarkStart w:id="38" w:name="_Toc448917112"/>
      <w:bookmarkStart w:id="39" w:name="_Toc448924819"/>
      <w:bookmarkStart w:id="40" w:name="_Toc448925124"/>
      <w:bookmarkStart w:id="41" w:name="_Toc448935463"/>
      <w:bookmarkStart w:id="42" w:name="_Toc448936082"/>
      <w:bookmarkStart w:id="43" w:name="_Toc449603851"/>
      <w:bookmarkStart w:id="44" w:name="_Toc449603917"/>
      <w:bookmarkStart w:id="45" w:name="_Toc449949926"/>
      <w:bookmarkStart w:id="46" w:name="_Toc449960251"/>
      <w:bookmarkStart w:id="47" w:name="_Toc451239530"/>
      <w:r>
        <w:t>Introduction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4F0878" w:rsidRPr="00972C26" w:rsidRDefault="008561EE" w:rsidP="00972C26">
      <w:pPr>
        <w:pStyle w:val="Heading6"/>
      </w:pPr>
      <w:r>
        <w:t>Background</w:t>
      </w:r>
    </w:p>
    <w:p w:rsidR="00FD7D9A" w:rsidRPr="00D24F6B" w:rsidRDefault="00F45D50" w:rsidP="00FD7D9A">
      <w:pPr>
        <w:pStyle w:val="PwCNormal"/>
        <w:rPr>
          <w:snapToGrid/>
          <w:lang w:eastAsia="en-AU"/>
        </w:rPr>
      </w:pPr>
      <w:r>
        <w:rPr>
          <w:snapToGrid/>
          <w:lang w:eastAsia="en-AU"/>
        </w:rPr>
        <w:t>DEDJTR</w:t>
      </w:r>
      <w:r w:rsidR="00FD7D9A" w:rsidRPr="00D24F6B">
        <w:rPr>
          <w:snapToGrid/>
          <w:lang w:eastAsia="en-AU"/>
        </w:rPr>
        <w:t xml:space="preserve"> is responsible for leading and facilitating development of Victoria’s earth resources. Extractive industries are important contributors to the Victorian economy</w:t>
      </w:r>
      <w:r w:rsidR="00E93B1A">
        <w:rPr>
          <w:snapToGrid/>
          <w:lang w:eastAsia="en-AU"/>
        </w:rPr>
        <w:t>. In</w:t>
      </w:r>
      <w:r w:rsidR="008307F4">
        <w:rPr>
          <w:snapToGrid/>
          <w:lang w:eastAsia="en-AU"/>
        </w:rPr>
        <w:t xml:space="preserve"> 2014</w:t>
      </w:r>
      <w:r w:rsidR="00E93B1A">
        <w:rPr>
          <w:snapToGrid/>
          <w:lang w:eastAsia="en-AU"/>
        </w:rPr>
        <w:t>,</w:t>
      </w:r>
      <w:r w:rsidR="008307F4">
        <w:rPr>
          <w:snapToGrid/>
          <w:lang w:eastAsia="en-AU"/>
        </w:rPr>
        <w:t xml:space="preserve"> </w:t>
      </w:r>
      <w:r w:rsidR="001E0793">
        <w:rPr>
          <w:snapToGrid/>
          <w:lang w:eastAsia="en-AU"/>
        </w:rPr>
        <w:t>485</w:t>
      </w:r>
      <w:r w:rsidR="001E0793" w:rsidRPr="00D24F6B">
        <w:rPr>
          <w:snapToGrid/>
          <w:lang w:eastAsia="en-AU"/>
        </w:rPr>
        <w:t xml:space="preserve"> </w:t>
      </w:r>
      <w:r w:rsidR="00177E4E">
        <w:rPr>
          <w:snapToGrid/>
          <w:lang w:eastAsia="en-AU"/>
        </w:rPr>
        <w:t xml:space="preserve">operating </w:t>
      </w:r>
      <w:r w:rsidR="00FD7D9A" w:rsidRPr="00D24F6B">
        <w:rPr>
          <w:snapToGrid/>
          <w:lang w:eastAsia="en-AU"/>
        </w:rPr>
        <w:t xml:space="preserve">quarries across the State </w:t>
      </w:r>
      <w:r w:rsidR="008307F4">
        <w:rPr>
          <w:snapToGrid/>
          <w:lang w:eastAsia="en-AU"/>
        </w:rPr>
        <w:t xml:space="preserve">produced close to </w:t>
      </w:r>
      <w:r w:rsidR="001E0793">
        <w:rPr>
          <w:snapToGrid/>
          <w:lang w:eastAsia="en-AU"/>
        </w:rPr>
        <w:t xml:space="preserve">40 </w:t>
      </w:r>
      <w:r w:rsidR="00FD7D9A" w:rsidRPr="00D24F6B">
        <w:rPr>
          <w:snapToGrid/>
          <w:lang w:eastAsia="en-AU"/>
        </w:rPr>
        <w:t>million tonnes of stone, limestone, gypsum, sand and gravel. These resources are used to produce concrete, cement, bricks and road paving used in the construction of public infrastructure such as roads, railways and bridges and in commercial and residential buildings. The value of production</w:t>
      </w:r>
      <w:r w:rsidR="00FD7D9A">
        <w:rPr>
          <w:snapToGrid/>
          <w:lang w:eastAsia="en-AU"/>
        </w:rPr>
        <w:t xml:space="preserve"> </w:t>
      </w:r>
      <w:r w:rsidR="00FD7D9A" w:rsidRPr="00D24F6B">
        <w:rPr>
          <w:snapToGrid/>
          <w:lang w:eastAsia="en-AU"/>
        </w:rPr>
        <w:t xml:space="preserve">from quarries at the ‘quarry gate’ </w:t>
      </w:r>
      <w:r w:rsidR="008307F4">
        <w:rPr>
          <w:snapToGrid/>
          <w:lang w:eastAsia="en-AU"/>
        </w:rPr>
        <w:t xml:space="preserve">in 2014 </w:t>
      </w:r>
      <w:r w:rsidR="00FD7D9A" w:rsidRPr="00D24F6B">
        <w:rPr>
          <w:snapToGrid/>
          <w:lang w:eastAsia="en-AU"/>
        </w:rPr>
        <w:t>is estimated to be around $</w:t>
      </w:r>
      <w:r w:rsidR="001E0793">
        <w:rPr>
          <w:snapToGrid/>
          <w:lang w:eastAsia="en-AU"/>
        </w:rPr>
        <w:t>676</w:t>
      </w:r>
      <w:r w:rsidR="001E0793" w:rsidRPr="00D24F6B">
        <w:rPr>
          <w:snapToGrid/>
          <w:lang w:eastAsia="en-AU"/>
        </w:rPr>
        <w:t xml:space="preserve"> </w:t>
      </w:r>
      <w:r w:rsidR="00FD7D9A" w:rsidRPr="00D24F6B">
        <w:rPr>
          <w:snapToGrid/>
          <w:lang w:eastAsia="en-AU"/>
        </w:rPr>
        <w:t>million.</w:t>
      </w:r>
      <w:r w:rsidR="001E0793">
        <w:rPr>
          <w:rStyle w:val="FootnoteReference"/>
          <w:snapToGrid/>
          <w:lang w:eastAsia="en-AU"/>
        </w:rPr>
        <w:footnoteReference w:id="8"/>
      </w:r>
    </w:p>
    <w:p w:rsidR="00FD7D9A" w:rsidRDefault="00FD7D9A" w:rsidP="00FD7D9A">
      <w:pPr>
        <w:pStyle w:val="PwCNormal"/>
        <w:rPr>
          <w:snapToGrid/>
          <w:lang w:eastAsia="en-AU"/>
        </w:rPr>
      </w:pPr>
      <w:r w:rsidRPr="00D24F6B">
        <w:rPr>
          <w:snapToGrid/>
          <w:lang w:eastAsia="en-AU"/>
        </w:rPr>
        <w:t xml:space="preserve">The </w:t>
      </w:r>
      <w:r w:rsidR="0023680B">
        <w:rPr>
          <w:snapToGrid/>
          <w:lang w:eastAsia="en-AU"/>
        </w:rPr>
        <w:t xml:space="preserve">building and construction </w:t>
      </w:r>
      <w:r w:rsidRPr="00D24F6B">
        <w:rPr>
          <w:snapToGrid/>
          <w:lang w:eastAsia="en-AU"/>
        </w:rPr>
        <w:t>sector faces challenges in maintaining access to supplies of quality extractive resources, particularly:</w:t>
      </w:r>
      <w:r>
        <w:rPr>
          <w:snapToGrid/>
          <w:lang w:eastAsia="en-AU"/>
        </w:rPr>
        <w:t xml:space="preserve"> </w:t>
      </w:r>
    </w:p>
    <w:p w:rsidR="00FD7D9A" w:rsidRDefault="00FD7D9A" w:rsidP="00FD7D9A">
      <w:pPr>
        <w:pStyle w:val="ListBullet"/>
        <w:rPr>
          <w:snapToGrid/>
          <w:lang w:eastAsia="en-AU"/>
        </w:rPr>
      </w:pPr>
      <w:r w:rsidRPr="00D24F6B">
        <w:rPr>
          <w:snapToGrid/>
          <w:lang w:eastAsia="en-AU"/>
        </w:rPr>
        <w:t>potential sterilisation of prospective extractive resources by urb</w:t>
      </w:r>
      <w:r>
        <w:rPr>
          <w:snapToGrid/>
          <w:lang w:eastAsia="en-AU"/>
        </w:rPr>
        <w:t>an and regional development</w:t>
      </w:r>
    </w:p>
    <w:p w:rsidR="00E93B1A" w:rsidRDefault="00FD7D9A" w:rsidP="00FD7D9A">
      <w:pPr>
        <w:pStyle w:val="ListBullet"/>
        <w:rPr>
          <w:snapToGrid/>
          <w:lang w:eastAsia="en-AU"/>
        </w:rPr>
      </w:pPr>
      <w:r>
        <w:rPr>
          <w:snapToGrid/>
          <w:lang w:eastAsia="en-AU"/>
        </w:rPr>
        <w:t>encroachment of urban and regional developmen</w:t>
      </w:r>
      <w:r w:rsidR="006E71A3">
        <w:rPr>
          <w:snapToGrid/>
          <w:lang w:eastAsia="en-AU"/>
        </w:rPr>
        <w:t>t into existing quarrying areas</w:t>
      </w:r>
    </w:p>
    <w:p w:rsidR="0023680B" w:rsidRDefault="00E93B1A" w:rsidP="00E93B1A">
      <w:pPr>
        <w:pStyle w:val="ListBullet"/>
        <w:rPr>
          <w:snapToGrid/>
          <w:lang w:eastAsia="en-AU"/>
        </w:rPr>
      </w:pPr>
      <w:r w:rsidRPr="00E93B1A">
        <w:rPr>
          <w:snapToGrid/>
          <w:lang w:eastAsia="en-AU"/>
        </w:rPr>
        <w:t>the nearly doubling of demand for extractive resources over the 2015</w:t>
      </w:r>
      <w:r w:rsidR="00CE390F">
        <w:rPr>
          <w:snapToGrid/>
          <w:lang w:eastAsia="en-AU"/>
        </w:rPr>
        <w:t xml:space="preserve"> to </w:t>
      </w:r>
      <w:r w:rsidRPr="00E93B1A">
        <w:rPr>
          <w:snapToGrid/>
          <w:lang w:eastAsia="en-AU"/>
        </w:rPr>
        <w:t>2050 period will lead to an increase in the need for transport infrastructure</w:t>
      </w:r>
    </w:p>
    <w:p w:rsidR="00FD7D9A" w:rsidRDefault="0023680B" w:rsidP="00E93B1A">
      <w:pPr>
        <w:pStyle w:val="ListBullet"/>
        <w:rPr>
          <w:snapToGrid/>
          <w:lang w:eastAsia="en-AU"/>
        </w:rPr>
      </w:pPr>
      <w:r>
        <w:rPr>
          <w:snapToGrid/>
          <w:lang w:eastAsia="en-AU"/>
        </w:rPr>
        <w:t>exhaustion of existing licensed reserves.</w:t>
      </w:r>
    </w:p>
    <w:p w:rsidR="00FD7D9A" w:rsidRPr="00D24F6B" w:rsidRDefault="00394D66" w:rsidP="009C2220">
      <w:pPr>
        <w:pStyle w:val="PwCNormal"/>
        <w:rPr>
          <w:snapToGrid/>
          <w:lang w:eastAsia="en-AU"/>
        </w:rPr>
      </w:pPr>
      <w:r w:rsidRPr="00394D66">
        <w:rPr>
          <w:snapToGrid/>
          <w:lang w:eastAsia="en-AU"/>
        </w:rPr>
        <w:t>These challenges were recognised by the EDIC</w:t>
      </w:r>
      <w:r w:rsidR="00107A19">
        <w:rPr>
          <w:rStyle w:val="FootnoteReference"/>
          <w:snapToGrid/>
          <w:lang w:eastAsia="en-AU"/>
        </w:rPr>
        <w:footnoteReference w:id="9"/>
      </w:r>
      <w:r w:rsidRPr="00394D66">
        <w:rPr>
          <w:snapToGrid/>
          <w:lang w:eastAsia="en-AU"/>
        </w:rPr>
        <w:t xml:space="preserve"> 2012 Inquiry</w:t>
      </w:r>
      <w:r w:rsidR="00FD7D9A" w:rsidRPr="00D24F6B">
        <w:rPr>
          <w:snapToGrid/>
          <w:lang w:eastAsia="en-AU"/>
        </w:rPr>
        <w:t xml:space="preserve"> into </w:t>
      </w:r>
      <w:r w:rsidR="00270900">
        <w:rPr>
          <w:snapToGrid/>
          <w:lang w:eastAsia="en-AU"/>
        </w:rPr>
        <w:t>g</w:t>
      </w:r>
      <w:r w:rsidR="00F45D50" w:rsidRPr="00D24F6B">
        <w:rPr>
          <w:snapToGrid/>
          <w:lang w:eastAsia="en-AU"/>
        </w:rPr>
        <w:t>reenfield</w:t>
      </w:r>
      <w:r w:rsidR="00FD7D9A" w:rsidRPr="00D24F6B">
        <w:rPr>
          <w:snapToGrid/>
          <w:lang w:eastAsia="en-AU"/>
        </w:rPr>
        <w:t xml:space="preserve"> mineral exploration and project development in Victoria. </w:t>
      </w:r>
    </w:p>
    <w:p w:rsidR="00FD7D9A" w:rsidRDefault="00FD7D9A" w:rsidP="00FD7D9A">
      <w:pPr>
        <w:pStyle w:val="PwCNormal"/>
        <w:rPr>
          <w:snapToGrid/>
          <w:lang w:eastAsia="en-AU"/>
        </w:rPr>
      </w:pPr>
      <w:r w:rsidRPr="00D24F6B">
        <w:rPr>
          <w:snapToGrid/>
          <w:lang w:eastAsia="en-AU"/>
        </w:rPr>
        <w:t xml:space="preserve">Subsequently, the Extractive Industries Taskforce </w:t>
      </w:r>
      <w:r w:rsidR="00AB4D80">
        <w:rPr>
          <w:snapToGrid/>
          <w:lang w:eastAsia="en-AU"/>
        </w:rPr>
        <w:t xml:space="preserve">(the Taskforce) </w:t>
      </w:r>
      <w:r w:rsidRPr="00D24F6B">
        <w:rPr>
          <w:snapToGrid/>
          <w:lang w:eastAsia="en-AU"/>
        </w:rPr>
        <w:t>was established to quantify resources, estimate future requirements and provide advice on ways to improve planning arrangements for extractive resources. The Taskforce includes both</w:t>
      </w:r>
      <w:r>
        <w:rPr>
          <w:snapToGrid/>
          <w:lang w:eastAsia="en-AU"/>
        </w:rPr>
        <w:t xml:space="preserve"> </w:t>
      </w:r>
      <w:r w:rsidRPr="00D24F6B">
        <w:rPr>
          <w:snapToGrid/>
          <w:lang w:eastAsia="en-AU"/>
        </w:rPr>
        <w:t>industry and Government representation, and is supported by a Reference Group of broader stakeholders.</w:t>
      </w:r>
    </w:p>
    <w:p w:rsidR="008561EE" w:rsidRDefault="008561EE" w:rsidP="008561EE">
      <w:pPr>
        <w:pStyle w:val="Heading6"/>
      </w:pPr>
      <w:r>
        <w:t>Overview of the extractives industry in Victoria</w:t>
      </w:r>
    </w:p>
    <w:p w:rsidR="002C5BB4" w:rsidRDefault="002C5BB4" w:rsidP="002C5BB4">
      <w:pPr>
        <w:pStyle w:val="PwCNormal"/>
      </w:pPr>
      <w:r>
        <w:t>Urban and regional development, renewal and large infrastructure projects are the primary market drivers of demand for extractive resources. The Commonwealth and Victorian Governments have established significant agendas for future infrastructure development which extend over many years. This</w:t>
      </w:r>
      <w:r w:rsidR="000F7762">
        <w:t>,</w:t>
      </w:r>
      <w:r>
        <w:t xml:space="preserve"> </w:t>
      </w:r>
      <w:r w:rsidR="000F7762">
        <w:t xml:space="preserve">in turn </w:t>
      </w:r>
      <w:r>
        <w:t>has significant potential implications for the demand for extractive resources.</w:t>
      </w:r>
    </w:p>
    <w:p w:rsidR="00FD7D9A" w:rsidRDefault="00FD7D9A" w:rsidP="00FD7D9A">
      <w:pPr>
        <w:pStyle w:val="PwCNormal"/>
      </w:pPr>
      <w:r>
        <w:t xml:space="preserve">Victoria has a number of known sources and locations of extractive resources. Some of these resources are currently commercial quarrying operations, some are in development and others are prospective areas which may be considered for development in the future. The quality of extractive resources is critical </w:t>
      </w:r>
      <w:r w:rsidR="000670FF">
        <w:t xml:space="preserve">as </w:t>
      </w:r>
      <w:r>
        <w:t>some uses (such as roads) require specific types</w:t>
      </w:r>
      <w:r w:rsidR="000A1F42">
        <w:t xml:space="preserve"> or </w:t>
      </w:r>
      <w:r>
        <w:t xml:space="preserve">grades of extractive resources for which there are limited substitutes. </w:t>
      </w:r>
    </w:p>
    <w:p w:rsidR="00FD7D9A" w:rsidRDefault="00FD7D9A" w:rsidP="0089081A">
      <w:pPr>
        <w:pStyle w:val="PwCNormal"/>
        <w:keepNext/>
      </w:pPr>
      <w:r>
        <w:t>Extractive (stone) resources are defined as</w:t>
      </w:r>
      <w:r w:rsidR="000F7762">
        <w:t>:</w:t>
      </w:r>
      <w:r>
        <w:rPr>
          <w:rStyle w:val="FootnoteReference"/>
        </w:rPr>
        <w:footnoteReference w:id="10"/>
      </w:r>
    </w:p>
    <w:p w:rsidR="00FD7D9A" w:rsidRDefault="00FD7D9A" w:rsidP="0089081A">
      <w:pPr>
        <w:pStyle w:val="ListBullet"/>
        <w:keepNext/>
      </w:pPr>
      <w:r>
        <w:t>sandstone, freestone or other building stone</w:t>
      </w:r>
    </w:p>
    <w:p w:rsidR="00FD7D9A" w:rsidRDefault="00FD7D9A" w:rsidP="0089081A">
      <w:pPr>
        <w:pStyle w:val="ListBullet"/>
        <w:keepNext/>
      </w:pPr>
      <w:r>
        <w:t xml:space="preserve">basalt, granite, limestone or rock of any kind ordinarily used for building, manufacturing or construction (e.g. road construction) purposes </w:t>
      </w:r>
    </w:p>
    <w:p w:rsidR="00FD7D9A" w:rsidRDefault="00FD7D9A" w:rsidP="00FD7D9A">
      <w:pPr>
        <w:pStyle w:val="ListBullet"/>
      </w:pPr>
      <w:r>
        <w:t>quartz (other than quartz crystals)</w:t>
      </w:r>
    </w:p>
    <w:p w:rsidR="00FD7D9A" w:rsidRDefault="00FD7D9A" w:rsidP="00FD7D9A">
      <w:pPr>
        <w:pStyle w:val="ListBullet"/>
      </w:pPr>
      <w:r>
        <w:t>slate or gravel</w:t>
      </w:r>
    </w:p>
    <w:p w:rsidR="00FD7D9A" w:rsidRDefault="00FD7D9A" w:rsidP="00FD7D9A">
      <w:pPr>
        <w:pStyle w:val="ListBullet"/>
      </w:pPr>
      <w:r>
        <w:t>clay (other than fine clay, bentonite or kaolin)</w:t>
      </w:r>
    </w:p>
    <w:p w:rsidR="00FD7D9A" w:rsidRDefault="00FD7D9A" w:rsidP="00FD7D9A">
      <w:pPr>
        <w:pStyle w:val="ListBullet"/>
      </w:pPr>
      <w:r>
        <w:t>peat</w:t>
      </w:r>
    </w:p>
    <w:p w:rsidR="00FD7D9A" w:rsidRDefault="00FD7D9A" w:rsidP="00FD7D9A">
      <w:pPr>
        <w:pStyle w:val="ListBullet"/>
      </w:pPr>
      <w:r>
        <w:t>sand, earth or soil</w:t>
      </w:r>
    </w:p>
    <w:p w:rsidR="00FD7D9A" w:rsidRDefault="00FD7D9A" w:rsidP="00FD7D9A">
      <w:pPr>
        <w:pStyle w:val="ListBullet"/>
      </w:pPr>
      <w:r>
        <w:t>other similar materials.</w:t>
      </w:r>
    </w:p>
    <w:p w:rsidR="00FD7D9A" w:rsidRDefault="002C5BB4" w:rsidP="00FD7D9A">
      <w:pPr>
        <w:pStyle w:val="PwCNormal"/>
      </w:pPr>
      <w:r>
        <w:t>Given the large mass of extractive</w:t>
      </w:r>
      <w:r w:rsidR="000F7762">
        <w:t xml:space="preserve"> resources</w:t>
      </w:r>
      <w:r>
        <w:t xml:space="preserve"> demanded compared to </w:t>
      </w:r>
      <w:r w:rsidR="000F7762">
        <w:t xml:space="preserve">their </w:t>
      </w:r>
      <w:r>
        <w:t>value, transportation costs between sources of extractive resources and locations of use are large cost elements in the resource supply chain. Accordingly, quarries are often located in relatively close proximity to customers</w:t>
      </w:r>
      <w:r w:rsidR="000F7762">
        <w:t>. While much larger transport distances are not uncommon</w:t>
      </w:r>
      <w:r w:rsidR="0023680B">
        <w:t>, quarries typically service demand within 100km</w:t>
      </w:r>
      <w:r w:rsidR="000F7762">
        <w:t>.</w:t>
      </w:r>
      <w:r w:rsidR="000F7762">
        <w:rPr>
          <w:rStyle w:val="FootnoteReference"/>
        </w:rPr>
        <w:footnoteReference w:id="11"/>
      </w:r>
    </w:p>
    <w:p w:rsidR="002C5BB4" w:rsidRDefault="002C5BB4" w:rsidP="002C5BB4">
      <w:pPr>
        <w:pStyle w:val="PwCNormal"/>
      </w:pPr>
      <w:r>
        <w:t xml:space="preserve">As a relatively small and densely populated </w:t>
      </w:r>
      <w:r w:rsidR="009069AC">
        <w:t>State</w:t>
      </w:r>
      <w:r>
        <w:t xml:space="preserve">, Victoria is increasingly facing pressures around competing uses for land, particularly in urban and regional fringe areas. There is the potential for competing demand </w:t>
      </w:r>
      <w:r w:rsidR="0067488E">
        <w:t xml:space="preserve">by different adjacent land uses </w:t>
      </w:r>
      <w:r>
        <w:t>at all stages of a quarry’s lifecycle, from prior to quarry development, through quarrying operations to the rehabilitation of the site.</w:t>
      </w:r>
    </w:p>
    <w:p w:rsidR="00FD7D9A" w:rsidRDefault="00FD7D9A" w:rsidP="00FD7D9A">
      <w:pPr>
        <w:pStyle w:val="PwCNormal"/>
      </w:pPr>
      <w:r w:rsidRPr="00564474">
        <w:t>Where there are constraints on locally sourced supplies of extractive resources</w:t>
      </w:r>
      <w:r w:rsidR="000F7762">
        <w:t xml:space="preserve"> supply has to be imported from further afield.</w:t>
      </w:r>
      <w:r w:rsidRPr="00564474">
        <w:t xml:space="preserve"> </w:t>
      </w:r>
      <w:r w:rsidR="000F7762">
        <w:t>The p</w:t>
      </w:r>
      <w:r w:rsidRPr="00564474">
        <w:t xml:space="preserve">otential implications of </w:t>
      </w:r>
      <w:r w:rsidR="000F7762">
        <w:t xml:space="preserve">this </w:t>
      </w:r>
      <w:r w:rsidRPr="00564474">
        <w:t>constraint include higher construction costs for public infrastructure and for public and private construction activity. Moreover, extractive resource production from quarries may not be sufficient to supply future demand growth needs without upward pressure on resources prices, with the potential for flow through to higher construction costs. The development of new quarries is expected to assist in addressing this issue.</w:t>
      </w:r>
    </w:p>
    <w:p w:rsidR="002C5BB4" w:rsidRDefault="002C5BB4" w:rsidP="002C5BB4">
      <w:pPr>
        <w:pStyle w:val="PwCNormal"/>
      </w:pPr>
      <w:r>
        <w:t xml:space="preserve">Land planning decisions have the potential to facilitate or to restrict access to extractive resources. The use of land for extractive industries is directly impacted upon by planning schemes, where an extractives proposal either </w:t>
      </w:r>
      <w:r w:rsidR="0067488E" w:rsidRPr="0067488E">
        <w:t>requires a planning permit or is deemed to be a prohibited use</w:t>
      </w:r>
      <w:r w:rsidR="00950500">
        <w:t>, especially around emerging residential areas.</w:t>
      </w:r>
    </w:p>
    <w:p w:rsidR="00FD7D9A" w:rsidRDefault="00FD7D9A" w:rsidP="00FD7D9A">
      <w:pPr>
        <w:pStyle w:val="PwCNormal"/>
      </w:pPr>
      <w:r>
        <w:t>There is an opportunity to ensure that urban and regional growth and land planning (particularly on the fringes of the Melbourne metropolitan area and regional cities) appropriately takes into account existing and future strategic extractive resource needs and supply sources.</w:t>
      </w:r>
    </w:p>
    <w:p w:rsidR="00FD7D9A" w:rsidRDefault="00FD7D9A" w:rsidP="00FD7D9A">
      <w:pPr>
        <w:pStyle w:val="PwCNormal"/>
      </w:pPr>
      <w:r>
        <w:t xml:space="preserve">It is important that these considerations are informed by robust information on potential future resource needs for specific </w:t>
      </w:r>
      <w:r w:rsidR="009548BB">
        <w:t xml:space="preserve">types of </w:t>
      </w:r>
      <w:r>
        <w:t>extractive resources</w:t>
      </w:r>
      <w:r w:rsidR="009548BB">
        <w:t xml:space="preserve">, including their </w:t>
      </w:r>
      <w:r>
        <w:t>existing, planned and potential supplies and locations of strategically important resources.</w:t>
      </w:r>
    </w:p>
    <w:p w:rsidR="002F6082" w:rsidRDefault="00FD7D9A" w:rsidP="001B2382">
      <w:pPr>
        <w:pStyle w:val="PwCNormal"/>
      </w:pPr>
      <w:r>
        <w:t xml:space="preserve">Consideration of how planning mechanisms can best be used to facilitate co-existence of extractive industries and other land uses is also important to enable the </w:t>
      </w:r>
      <w:r w:rsidR="009069AC">
        <w:t xml:space="preserve">State </w:t>
      </w:r>
      <w:r>
        <w:t>to best manage its extractive resources.</w:t>
      </w:r>
      <w:r w:rsidR="005C18E7">
        <w:t xml:space="preserve"> Such considerations are not part of this study.</w:t>
      </w:r>
    </w:p>
    <w:p w:rsidR="002F6082" w:rsidRDefault="00FD7D9A" w:rsidP="00FD7D9A">
      <w:pPr>
        <w:pStyle w:val="Heading6"/>
      </w:pPr>
      <w:r>
        <w:t>Scope of this study</w:t>
      </w:r>
    </w:p>
    <w:p w:rsidR="00FD7D9A" w:rsidRDefault="00FD7D9A" w:rsidP="00FD7D9A">
      <w:pPr>
        <w:pStyle w:val="PwCNormal"/>
      </w:pPr>
      <w:r>
        <w:t>The Extractive Industries Taskforce commenced in April 2014. Its work program includes identification of substantial extractive resources in Victoria, particularly those which may be strategically important to the State.</w:t>
      </w:r>
    </w:p>
    <w:p w:rsidR="00FD7D9A" w:rsidRDefault="00FD7D9A" w:rsidP="00FD7D9A">
      <w:pPr>
        <w:pStyle w:val="PwCNormal"/>
      </w:pPr>
      <w:r>
        <w:t xml:space="preserve">Accordingly, this </w:t>
      </w:r>
      <w:r w:rsidR="00152BA0">
        <w:t xml:space="preserve">study </w:t>
      </w:r>
      <w:r>
        <w:t>has been established to:</w:t>
      </w:r>
    </w:p>
    <w:p w:rsidR="00FD7D9A" w:rsidRDefault="002A2A08" w:rsidP="00FD7D9A">
      <w:pPr>
        <w:pStyle w:val="ChapterNumberedList1"/>
      </w:pPr>
      <w:r>
        <w:t xml:space="preserve">identify </w:t>
      </w:r>
      <w:r w:rsidR="00FD7D9A">
        <w:t xml:space="preserve">and quantify </w:t>
      </w:r>
      <w:r w:rsidR="0079562E">
        <w:t xml:space="preserve">current and forecast </w:t>
      </w:r>
      <w:r w:rsidR="00FD7D9A">
        <w:t xml:space="preserve">demand and supply </w:t>
      </w:r>
      <w:r w:rsidR="0079562E">
        <w:t xml:space="preserve">profiles </w:t>
      </w:r>
      <w:r w:rsidR="00FD7D9A">
        <w:t xml:space="preserve">for Victorian extractive resources </w:t>
      </w:r>
      <w:r w:rsidR="009548BB">
        <w:t xml:space="preserve">over two </w:t>
      </w:r>
      <w:r w:rsidR="0079562E">
        <w:t xml:space="preserve">time </w:t>
      </w:r>
      <w:r w:rsidR="009548BB">
        <w:t xml:space="preserve">periods: </w:t>
      </w:r>
      <w:r w:rsidR="00FD7D9A">
        <w:t>2015</w:t>
      </w:r>
      <w:r w:rsidR="00CE390F">
        <w:t xml:space="preserve"> to </w:t>
      </w:r>
      <w:r w:rsidR="003546E7">
        <w:t>2025 and 2026</w:t>
      </w:r>
      <w:r w:rsidR="00CE390F">
        <w:t xml:space="preserve"> to </w:t>
      </w:r>
      <w:r w:rsidR="003546E7">
        <w:t>20</w:t>
      </w:r>
      <w:r w:rsidR="00FD7D9A">
        <w:t>50</w:t>
      </w:r>
      <w:r w:rsidR="0079562E">
        <w:t>, including scenario analysis.</w:t>
      </w:r>
    </w:p>
    <w:p w:rsidR="00FD7D9A" w:rsidRDefault="002A2A08" w:rsidP="00FD7D9A">
      <w:pPr>
        <w:pStyle w:val="ChapterNumberedList1"/>
      </w:pPr>
      <w:r>
        <w:t xml:space="preserve">assess </w:t>
      </w:r>
      <w:r w:rsidR="00FD7D9A">
        <w:t xml:space="preserve">the economic value of the </w:t>
      </w:r>
      <w:r w:rsidR="009069AC">
        <w:t xml:space="preserve">State’s </w:t>
      </w:r>
      <w:r w:rsidR="00FD7D9A">
        <w:t>extractive resources, in terms of implications for cost and/or availability of infrastructure and other construction activity if certain extractive resources are not available close to where they are needed for construction activity</w:t>
      </w:r>
      <w:r w:rsidR="0079562E">
        <w:t>.</w:t>
      </w:r>
    </w:p>
    <w:p w:rsidR="00FD7D9A" w:rsidRDefault="002A2A08" w:rsidP="00FD7D9A">
      <w:pPr>
        <w:pStyle w:val="ChapterNumberedList1"/>
      </w:pPr>
      <w:r>
        <w:t xml:space="preserve">determine </w:t>
      </w:r>
      <w:r w:rsidR="00FD7D9A">
        <w:t xml:space="preserve">which </w:t>
      </w:r>
      <w:r w:rsidR="00CA2233">
        <w:t xml:space="preserve">extractive </w:t>
      </w:r>
      <w:r w:rsidR="00FD7D9A">
        <w:t xml:space="preserve">resources (including location) are likely to be of strategic value to the </w:t>
      </w:r>
      <w:r w:rsidR="009069AC">
        <w:t>State</w:t>
      </w:r>
      <w:r w:rsidR="00FD7D9A">
        <w:t xml:space="preserve">. </w:t>
      </w:r>
      <w:r w:rsidR="00CA2233">
        <w:t xml:space="preserve">A strategic resource criteria framework and </w:t>
      </w:r>
      <w:r w:rsidR="0079562E">
        <w:t xml:space="preserve">associated </w:t>
      </w:r>
      <w:r w:rsidR="00CA2233">
        <w:t>measures ha</w:t>
      </w:r>
      <w:r w:rsidR="008D50DC">
        <w:t>ve</w:t>
      </w:r>
      <w:r w:rsidR="00CA2233">
        <w:t xml:space="preserve"> been developed in consultation with the Department and Extractive Industries Taskforce</w:t>
      </w:r>
      <w:r w:rsidR="008D50DC">
        <w:t xml:space="preserve"> to assist in this determination.</w:t>
      </w:r>
    </w:p>
    <w:p w:rsidR="00FD7D9A" w:rsidRPr="00186583" w:rsidRDefault="002A2A08" w:rsidP="00FD7D9A">
      <w:pPr>
        <w:pStyle w:val="ChapterNumberedList1"/>
      </w:pPr>
      <w:r>
        <w:t>c</w:t>
      </w:r>
      <w:r w:rsidRPr="00186583">
        <w:t xml:space="preserve">onduct </w:t>
      </w:r>
      <w:r w:rsidR="00691C8C" w:rsidRPr="00186583">
        <w:t xml:space="preserve">spatial analysis through the production of </w:t>
      </w:r>
      <w:r w:rsidR="00FD7D9A" w:rsidRPr="00186583">
        <w:t xml:space="preserve">detailed maps of extractive resource locations, </w:t>
      </w:r>
      <w:r w:rsidR="00691C8C" w:rsidRPr="00186583">
        <w:t xml:space="preserve">including </w:t>
      </w:r>
      <w:r w:rsidR="00FD7D9A" w:rsidRPr="00186583">
        <w:t xml:space="preserve">linkages to areas of </w:t>
      </w:r>
      <w:r w:rsidR="00691C8C" w:rsidRPr="00186583">
        <w:t xml:space="preserve">current and </w:t>
      </w:r>
      <w:r w:rsidR="00FD7D9A" w:rsidRPr="00186583">
        <w:t xml:space="preserve">future demand, transport corridors and market linkages, potential synergies and </w:t>
      </w:r>
      <w:r w:rsidR="00B94EFE" w:rsidRPr="00186583">
        <w:t>impediments</w:t>
      </w:r>
      <w:r w:rsidR="00FD7D9A" w:rsidRPr="00186583">
        <w:t>.</w:t>
      </w:r>
    </w:p>
    <w:p w:rsidR="00FD7D9A" w:rsidRDefault="00EA2518" w:rsidP="00FD7D9A">
      <w:pPr>
        <w:pStyle w:val="PwCNormal"/>
      </w:pPr>
      <w:r>
        <w:t xml:space="preserve">The current and forecast demand and supply profiles for Victorian extractive resources have </w:t>
      </w:r>
      <w:r w:rsidR="00FD7D9A">
        <w:t xml:space="preserve">been undertaken by separate </w:t>
      </w:r>
      <w:r w:rsidR="008D50DC">
        <w:t>service providers</w:t>
      </w:r>
      <w:r w:rsidR="00FD7D9A">
        <w:t xml:space="preserve">. This report and associated analysis detail the consolidated findings and recommendations flowing from </w:t>
      </w:r>
      <w:r>
        <w:t>the integration</w:t>
      </w:r>
      <w:r w:rsidR="00FD7D9A">
        <w:t xml:space="preserve"> of </w:t>
      </w:r>
      <w:r>
        <w:t xml:space="preserve">both the supply and demand components. </w:t>
      </w:r>
      <w:r w:rsidR="006A7C2D">
        <w:t xml:space="preserve"> </w:t>
      </w:r>
    </w:p>
    <w:p w:rsidR="006A7C2D" w:rsidRPr="00FD7D9A" w:rsidRDefault="00152BA0" w:rsidP="00FD7D9A">
      <w:pPr>
        <w:pStyle w:val="PwCNormal"/>
        <w:sectPr w:rsidR="006A7C2D" w:rsidRPr="00FD7D9A" w:rsidSect="001A7D05">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588" w:right="1843" w:bottom="1418" w:left="1843" w:header="567" w:footer="567" w:gutter="0"/>
          <w:pgNumType w:start="1"/>
          <w:cols w:space="227"/>
          <w:titlePg/>
          <w:docGrid w:linePitch="360"/>
        </w:sectPr>
      </w:pPr>
      <w:r>
        <w:t xml:space="preserve">The demand analysis report is included </w:t>
      </w:r>
      <w:r w:rsidR="00EA2518">
        <w:t>in</w:t>
      </w:r>
      <w:r>
        <w:t xml:space="preserve"> </w:t>
      </w:r>
      <w:r w:rsidR="00383078">
        <w:t>Appendix F</w:t>
      </w:r>
      <w:r w:rsidR="00EA2518">
        <w:t xml:space="preserve"> and </w:t>
      </w:r>
      <w:r>
        <w:t xml:space="preserve">provides further detail </w:t>
      </w:r>
      <w:r w:rsidR="00EA2518">
        <w:t>with</w:t>
      </w:r>
      <w:r>
        <w:t xml:space="preserve"> respect </w:t>
      </w:r>
      <w:r w:rsidR="00EA2518">
        <w:t>to the</w:t>
      </w:r>
      <w:r>
        <w:t xml:space="preserve"> scope of that study. </w:t>
      </w:r>
    </w:p>
    <w:p w:rsidR="002F6082" w:rsidRDefault="008561EE" w:rsidP="001A48C1">
      <w:pPr>
        <w:pStyle w:val="Heading2"/>
      </w:pPr>
      <w:bookmarkStart w:id="48" w:name="_Toc445905912"/>
      <w:bookmarkStart w:id="49" w:name="_Toc445906109"/>
      <w:bookmarkStart w:id="50" w:name="_Toc445973753"/>
      <w:bookmarkStart w:id="51" w:name="_Toc447628742"/>
      <w:bookmarkStart w:id="52" w:name="_Toc447630212"/>
      <w:bookmarkStart w:id="53" w:name="_Ref447638769"/>
      <w:bookmarkStart w:id="54" w:name="_Toc448153177"/>
      <w:bookmarkStart w:id="55" w:name="_Toc448917113"/>
      <w:bookmarkStart w:id="56" w:name="_Toc448924820"/>
      <w:bookmarkStart w:id="57" w:name="_Toc448925125"/>
      <w:bookmarkStart w:id="58" w:name="_Toc448935464"/>
      <w:bookmarkStart w:id="59" w:name="_Toc448936083"/>
      <w:bookmarkStart w:id="60" w:name="_Toc449603852"/>
      <w:bookmarkStart w:id="61" w:name="_Toc449603918"/>
      <w:bookmarkStart w:id="62" w:name="_Toc449949927"/>
      <w:bookmarkStart w:id="63" w:name="_Toc449960252"/>
      <w:bookmarkStart w:id="64" w:name="_Toc451239531"/>
      <w:r>
        <w:t>Methodology</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8561EE" w:rsidRDefault="00B21C81" w:rsidP="008561EE">
      <w:pPr>
        <w:pStyle w:val="Heading6"/>
      </w:pPr>
      <w:r>
        <w:t>Methodology and modelling framework</w:t>
      </w:r>
    </w:p>
    <w:p w:rsidR="008D50DC" w:rsidRDefault="00B1095A" w:rsidP="008D50DC">
      <w:pPr>
        <w:pStyle w:val="PwCNormal"/>
      </w:pPr>
      <w:r>
        <w:t xml:space="preserve">PwC was engaged by </w:t>
      </w:r>
      <w:r w:rsidR="00950500">
        <w:t xml:space="preserve">DEDJTR </w:t>
      </w:r>
      <w:r>
        <w:t xml:space="preserve">to consolidate </w:t>
      </w:r>
      <w:r w:rsidR="00950500">
        <w:t xml:space="preserve">and analyse demand, supply and industry </w:t>
      </w:r>
      <w:r>
        <w:t xml:space="preserve">findings to provide meaningful insights on the </w:t>
      </w:r>
      <w:r w:rsidR="00D152E1">
        <w:t>potential supply shortfalls</w:t>
      </w:r>
      <w:r>
        <w:t xml:space="preserve"> faced by the State. </w:t>
      </w:r>
      <w:r w:rsidR="008D50DC">
        <w:t xml:space="preserve">To achieve this PwC designed a framework that seamlessly integrates the supply and demand studies whilst maintaining the highest degree of rigour and transparency within the analysis.  </w:t>
      </w:r>
    </w:p>
    <w:p w:rsidR="00B034EE" w:rsidRDefault="00B32D0C" w:rsidP="004F7435">
      <w:pPr>
        <w:pStyle w:val="PwCNormal"/>
      </w:pPr>
      <w:r>
        <w:t xml:space="preserve">A modular framework was adopted to allow for </w:t>
      </w:r>
      <w:r w:rsidR="00D44E25">
        <w:t xml:space="preserve">the </w:t>
      </w:r>
      <w:r>
        <w:t xml:space="preserve">demand and supply </w:t>
      </w:r>
      <w:r w:rsidR="00D44E25">
        <w:t xml:space="preserve">of extractive resource profiles </w:t>
      </w:r>
      <w:r>
        <w:t>to be separately estimated but iteratively and holistically analysed and presented. The two components are interlinked through an agreed</w:t>
      </w:r>
      <w:r w:rsidR="002D7A98">
        <w:t>-u</w:t>
      </w:r>
      <w:r>
        <w:t>pon set of assumptions and scenarios.</w:t>
      </w:r>
      <w:r w:rsidR="008D50DC">
        <w:t xml:space="preserve"> An overview of PwC’s approach is illustrated below.</w:t>
      </w:r>
      <w:r>
        <w:t xml:space="preserve"> </w:t>
      </w:r>
    </w:p>
    <w:p w:rsidR="00366161" w:rsidRDefault="00366161" w:rsidP="00366161">
      <w:pPr>
        <w:pStyle w:val="Caption"/>
      </w:pPr>
      <w:r>
        <w:t xml:space="preserve">Figure </w:t>
      </w:r>
      <w:fldSimple w:instr=" SEQ Figure \* ARABIC ">
        <w:r w:rsidR="00E22E13">
          <w:rPr>
            <w:noProof/>
          </w:rPr>
          <w:t>3</w:t>
        </w:r>
      </w:fldSimple>
      <w:r w:rsidRPr="00585009">
        <w:t>: Overview of extractive resource modelling approach</w:t>
      </w:r>
      <w:r w:rsidR="00585009" w:rsidRPr="00585009">
        <w:rPr>
          <w:rStyle w:val="FootnoteReference"/>
          <w:color w:val="FFFFFF" w:themeColor="background1"/>
        </w:rPr>
        <w:footnoteReference w:id="12"/>
      </w:r>
    </w:p>
    <w:p w:rsidR="00270900" w:rsidRPr="00270900" w:rsidRDefault="00E060CE" w:rsidP="00270900">
      <w:pPr>
        <w:pStyle w:val="Sources"/>
      </w:pPr>
      <w:r w:rsidRPr="00E060CE">
        <w:rPr>
          <w:noProof/>
          <w:lang w:eastAsia="en-AU"/>
        </w:rPr>
        <w:drawing>
          <wp:inline distT="0" distB="0" distL="0" distR="0" wp14:anchorId="2104BEB5" wp14:editId="4E14E38F">
            <wp:extent cx="5220335" cy="4555065"/>
            <wp:effectExtent l="0" t="0" r="0" b="0"/>
            <wp:docPr id="15405" name="Picture 15405" descr="This figure shows an overview of the extractive resource modelling approach used to develop this report. Phase 1 was demand modelling and analysis. Phase 2 was supply modelling and analysis.  Phase 3 was an analysis of the interaction between the supply and demand.  Phase 4 was strategic resource determination. Phase 5 was reporting and mapping."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335" cy="4555065"/>
                    </a:xfrm>
                    <a:prstGeom prst="rect">
                      <a:avLst/>
                    </a:prstGeom>
                    <a:noFill/>
                    <a:ln>
                      <a:noFill/>
                    </a:ln>
                  </pic:spPr>
                </pic:pic>
              </a:graphicData>
            </a:graphic>
          </wp:inline>
        </w:drawing>
      </w:r>
      <w:r w:rsidR="00366824" w:rsidRPr="00366824">
        <w:t xml:space="preserve"> </w:t>
      </w:r>
      <w:r w:rsidR="00950500" w:rsidRPr="00950500">
        <w:rPr>
          <w:noProof/>
          <w:snapToGrid/>
          <w:lang w:eastAsia="en-AU"/>
        </w:rPr>
        <w:t xml:space="preserve"> </w:t>
      </w:r>
      <w:r w:rsidR="00A72D95" w:rsidRPr="00A72D95">
        <w:rPr>
          <w:noProof/>
          <w:snapToGrid/>
          <w:lang w:eastAsia="en-AU"/>
        </w:rPr>
        <w:t xml:space="preserve"> </w:t>
      </w:r>
      <w:r w:rsidR="0023680B" w:rsidRPr="0023680B">
        <w:rPr>
          <w:noProof/>
          <w:snapToGrid/>
          <w:lang w:eastAsia="en-AU"/>
        </w:rPr>
        <w:t xml:space="preserve"> </w:t>
      </w:r>
      <w:r w:rsidR="001A7D05" w:rsidRPr="001A7D05">
        <w:rPr>
          <w:noProof/>
          <w:snapToGrid/>
          <w:lang w:eastAsia="en-AU"/>
        </w:rPr>
        <w:t xml:space="preserve"> </w:t>
      </w:r>
      <w:r w:rsidR="0023680B">
        <w:rPr>
          <w:noProof/>
          <w:snapToGrid/>
          <w:lang w:eastAsia="en-AU"/>
        </w:rPr>
        <w:t xml:space="preserve"> </w:t>
      </w:r>
      <w:r w:rsidR="00950500">
        <w:rPr>
          <w:noProof/>
          <w:snapToGrid/>
          <w:lang w:eastAsia="en-AU"/>
        </w:rPr>
        <w:t>Source: PwC</w:t>
      </w:r>
      <w:r w:rsidR="00270900">
        <w:rPr>
          <w:noProof/>
          <w:snapToGrid/>
          <w:lang w:eastAsia="en-AU"/>
        </w:rPr>
        <w:t xml:space="preserve"> </w:t>
      </w:r>
    </w:p>
    <w:p w:rsidR="00B21C81" w:rsidRDefault="00D1700C" w:rsidP="00270900">
      <w:pPr>
        <w:pStyle w:val="Heading6"/>
      </w:pPr>
      <w:r>
        <w:t>Demand analysis methodology and data collection</w:t>
      </w:r>
    </w:p>
    <w:p w:rsidR="00D40A60" w:rsidRPr="009848B5" w:rsidRDefault="00D40A60" w:rsidP="0089081A">
      <w:pPr>
        <w:pStyle w:val="Heading7"/>
      </w:pPr>
      <w:r>
        <w:t xml:space="preserve">Demand analysis </w:t>
      </w:r>
      <w:r w:rsidR="00924862">
        <w:t>methodology</w:t>
      </w:r>
    </w:p>
    <w:p w:rsidR="00924862" w:rsidRDefault="00924862" w:rsidP="00D40A60">
      <w:pPr>
        <w:pStyle w:val="PwCNormal"/>
      </w:pPr>
      <w:r>
        <w:t>The detailed demand analysis for extractive resources in Victoria from 2015</w:t>
      </w:r>
      <w:r w:rsidR="006925D6">
        <w:t xml:space="preserve"> to 20</w:t>
      </w:r>
      <w:r>
        <w:t xml:space="preserve">50 was undertaken by a separate </w:t>
      </w:r>
      <w:r w:rsidR="005C18E7">
        <w:t>service provider</w:t>
      </w:r>
      <w:r>
        <w:t xml:space="preserve">. The final report of that analysis can be found at </w:t>
      </w:r>
      <w:r w:rsidR="00A72D95">
        <w:fldChar w:fldCharType="begin"/>
      </w:r>
      <w:r w:rsidR="00A72D95">
        <w:instrText xml:space="preserve"> REF _Ref448391998 \n \h </w:instrText>
      </w:r>
      <w:r w:rsidR="00A72D95">
        <w:fldChar w:fldCharType="separate"/>
      </w:r>
      <w:r w:rsidR="00E22E13">
        <w:t>Appendix E</w:t>
      </w:r>
      <w:r w:rsidR="00A72D95">
        <w:fldChar w:fldCharType="end"/>
      </w:r>
      <w:r w:rsidR="008C6DB5">
        <w:t xml:space="preserve"> and a</w:t>
      </w:r>
      <w:r>
        <w:t xml:space="preserve"> summary of the methodology applied in the analysis is provided below. </w:t>
      </w:r>
    </w:p>
    <w:p w:rsidR="00366161" w:rsidRDefault="00366161" w:rsidP="00D40A60">
      <w:pPr>
        <w:pStyle w:val="PwCNormal"/>
      </w:pPr>
      <w:r>
        <w:t xml:space="preserve">The approach </w:t>
      </w:r>
      <w:r w:rsidRPr="00366161">
        <w:t>to developing the long term projections of the demand for extractive resources across Victoria combines macroeconomic and demographic forecasting with a detailed analysis of the use of extractive resources within defined construction industry sectors.</w:t>
      </w:r>
    </w:p>
    <w:p w:rsidR="00924862" w:rsidRDefault="00924862" w:rsidP="00D40A60">
      <w:pPr>
        <w:pStyle w:val="PwCNormal"/>
      </w:pPr>
      <w:r>
        <w:t>The key steps involved in the demand analysis methodology are as follows:</w:t>
      </w:r>
    </w:p>
    <w:p w:rsidR="00924862" w:rsidRDefault="00924862" w:rsidP="0089081A">
      <w:pPr>
        <w:pStyle w:val="ListBullet"/>
      </w:pPr>
      <w:r>
        <w:t>Identification of historic relationships between macro-economic demand drivers and construction activities.</w:t>
      </w:r>
    </w:p>
    <w:p w:rsidR="00924862" w:rsidRDefault="00924862" w:rsidP="0089081A">
      <w:pPr>
        <w:pStyle w:val="ListBullet"/>
      </w:pPr>
      <w:r>
        <w:t xml:space="preserve">Identification of historic relationships between construction activities and the total production of extractive resources. </w:t>
      </w:r>
      <w:r w:rsidR="00B759B2">
        <w:t>T</w:t>
      </w:r>
      <w:r>
        <w:t xml:space="preserve">his work relied on extractive resources production data provided by </w:t>
      </w:r>
      <w:r w:rsidR="00ED479A">
        <w:t>DEDJTR</w:t>
      </w:r>
      <w:r w:rsidR="00B759B2">
        <w:t xml:space="preserve"> covering</w:t>
      </w:r>
      <w:r>
        <w:t xml:space="preserve"> the period 1991 to 201</w:t>
      </w:r>
      <w:r w:rsidR="009C0AA7">
        <w:t>4</w:t>
      </w:r>
      <w:r>
        <w:t>.</w:t>
      </w:r>
    </w:p>
    <w:p w:rsidR="00924862" w:rsidRDefault="00924862" w:rsidP="0089081A">
      <w:pPr>
        <w:pStyle w:val="ListBullet"/>
      </w:pPr>
      <w:r>
        <w:t>Develop</w:t>
      </w:r>
      <w:r w:rsidR="00B759B2">
        <w:t>ment of</w:t>
      </w:r>
      <w:r>
        <w:t xml:space="preserve"> a high</w:t>
      </w:r>
      <w:r w:rsidR="00B759B2">
        <w:t>-</w:t>
      </w:r>
      <w:r>
        <w:t xml:space="preserve">level forecast of construction activities based on Victorian Government population and macroeconomic projections and </w:t>
      </w:r>
      <w:r w:rsidR="00B759B2">
        <w:t xml:space="preserve">the </w:t>
      </w:r>
      <w:r>
        <w:t xml:space="preserve">long term relationships </w:t>
      </w:r>
      <w:r w:rsidR="00B759B2">
        <w:t>between these data and various construction activities</w:t>
      </w:r>
      <w:r>
        <w:t>.</w:t>
      </w:r>
    </w:p>
    <w:p w:rsidR="00924862" w:rsidRDefault="00924862" w:rsidP="0089081A">
      <w:pPr>
        <w:pStyle w:val="ListBullet"/>
      </w:pPr>
      <w:r>
        <w:t>Forecast of the total demand for extractive resources, focusing on four key categories of extractive resources (hard rock, limestone, sand and gravel and clay and clay shale).</w:t>
      </w:r>
    </w:p>
    <w:p w:rsidR="00924862" w:rsidRDefault="00924862" w:rsidP="0089081A">
      <w:pPr>
        <w:pStyle w:val="ListBullet"/>
      </w:pPr>
      <w:r>
        <w:t>Develop</w:t>
      </w:r>
      <w:r w:rsidR="00B759B2">
        <w:t xml:space="preserve">ment of </w:t>
      </w:r>
      <w:r>
        <w:t xml:space="preserve">a spatial allocation </w:t>
      </w:r>
      <w:r w:rsidR="00B759B2">
        <w:t xml:space="preserve">of the demand for these four categories to Victorian </w:t>
      </w:r>
      <w:r w:rsidR="00BF3B60">
        <w:t>Local Government Areas (</w:t>
      </w:r>
      <w:r w:rsidR="00B759B2">
        <w:t>LGAs</w:t>
      </w:r>
      <w:r w:rsidR="00BF3B60">
        <w:t>)</w:t>
      </w:r>
      <w:r w:rsidR="00B759B2">
        <w:t xml:space="preserve">. This allocation was </w:t>
      </w:r>
      <w:r>
        <w:t xml:space="preserve">based on </w:t>
      </w:r>
      <w:r w:rsidR="00B759B2">
        <w:t xml:space="preserve">a </w:t>
      </w:r>
      <w:r>
        <w:t xml:space="preserve">spatial allocation of construction activities and key technical assumptions received from </w:t>
      </w:r>
      <w:r w:rsidR="00ED479A">
        <w:t>DEDJTR</w:t>
      </w:r>
      <w:r>
        <w:t>’s technical advisors linking each construction activity with the use of extractive resources.</w:t>
      </w:r>
    </w:p>
    <w:p w:rsidR="00B759B2" w:rsidRDefault="00B759B2">
      <w:pPr>
        <w:pStyle w:val="PwCNormal"/>
      </w:pPr>
      <w:r>
        <w:t xml:space="preserve">Further </w:t>
      </w:r>
      <w:r w:rsidR="00924862" w:rsidRPr="00924862">
        <w:t xml:space="preserve">industry analysis was undertaken to validate and refine </w:t>
      </w:r>
      <w:r w:rsidR="00924862">
        <w:t>the initial</w:t>
      </w:r>
      <w:r w:rsidR="00924862" w:rsidRPr="00924862">
        <w:t xml:space="preserve"> projections to account for the complex nature of the industry and the interdependent relationships between </w:t>
      </w:r>
      <w:r>
        <w:t>supply and demand in certain locations.</w:t>
      </w:r>
    </w:p>
    <w:p w:rsidR="00D1700C" w:rsidRDefault="00D1700C" w:rsidP="0089081A">
      <w:pPr>
        <w:pStyle w:val="Heading7"/>
      </w:pPr>
      <w:r>
        <w:t>Stakeholder consultations</w:t>
      </w:r>
    </w:p>
    <w:p w:rsidR="00D1700C" w:rsidRDefault="00B759B2" w:rsidP="00D1700C">
      <w:pPr>
        <w:pStyle w:val="PwCNormal"/>
      </w:pPr>
      <w:r>
        <w:t>S</w:t>
      </w:r>
      <w:r w:rsidR="00D1700C">
        <w:t xml:space="preserve">takeholder consultations </w:t>
      </w:r>
      <w:r>
        <w:t>were undertaken to support the demand analysis. The aim of these consultations was to fill gaps in available data</w:t>
      </w:r>
      <w:r w:rsidR="00D1700C">
        <w:t>, which were mainly related to the absence of conversion metrics allowing calculating the quantity of extractive resources required per type of construction.</w:t>
      </w:r>
    </w:p>
    <w:p w:rsidR="00D1700C" w:rsidRDefault="00D1700C" w:rsidP="00D40A60">
      <w:pPr>
        <w:pStyle w:val="PwCNormal"/>
      </w:pPr>
      <w:r>
        <w:t>The detailed demand analysis was supported by consultation with several stakeholders, including:</w:t>
      </w:r>
    </w:p>
    <w:p w:rsidR="00D1700C" w:rsidRDefault="00952FD0" w:rsidP="0089081A">
      <w:pPr>
        <w:pStyle w:val="ListBullet"/>
      </w:pPr>
      <w:r>
        <w:t>construction firms</w:t>
      </w:r>
    </w:p>
    <w:p w:rsidR="00D1700C" w:rsidRDefault="00952FD0" w:rsidP="0089081A">
      <w:pPr>
        <w:pStyle w:val="ListBullet"/>
      </w:pPr>
      <w:r>
        <w:t>quantity surveyors</w:t>
      </w:r>
    </w:p>
    <w:p w:rsidR="00D1700C" w:rsidRDefault="00952FD0" w:rsidP="0089081A">
      <w:pPr>
        <w:pStyle w:val="ListBullet"/>
      </w:pPr>
      <w:r>
        <w:t>extractive industry participants</w:t>
      </w:r>
    </w:p>
    <w:p w:rsidR="00952FD0" w:rsidRDefault="00952FD0" w:rsidP="0089081A">
      <w:pPr>
        <w:pStyle w:val="ListBullet"/>
      </w:pPr>
      <w:r>
        <w:t>VicRoads</w:t>
      </w:r>
      <w:r>
        <w:tab/>
      </w:r>
    </w:p>
    <w:p w:rsidR="002D5ED0" w:rsidRDefault="002D5ED0" w:rsidP="00E060CE">
      <w:pPr>
        <w:pStyle w:val="ListBullet"/>
        <w:numPr>
          <w:ilvl w:val="0"/>
          <w:numId w:val="0"/>
        </w:numPr>
        <w:ind w:left="284"/>
      </w:pPr>
    </w:p>
    <w:p w:rsidR="00D1700C" w:rsidRDefault="00D1700C" w:rsidP="0089081A">
      <w:pPr>
        <w:pStyle w:val="Heading7"/>
      </w:pPr>
      <w:r>
        <w:t>Additional data collection</w:t>
      </w:r>
    </w:p>
    <w:p w:rsidR="0020661B" w:rsidRDefault="00D1700C" w:rsidP="0089081A">
      <w:pPr>
        <w:pStyle w:val="PwCNormal"/>
      </w:pPr>
      <w:r>
        <w:t>The demand analysis additionally relied on consideration of several other data sources, including</w:t>
      </w:r>
      <w:r w:rsidR="00B1095A">
        <w:t>,</w:t>
      </w:r>
      <w:r>
        <w:t xml:space="preserve"> but not limited to the following:</w:t>
      </w:r>
    </w:p>
    <w:p w:rsidR="00D1700C" w:rsidRDefault="00D1700C" w:rsidP="00D1700C">
      <w:pPr>
        <w:pStyle w:val="ListBullet"/>
      </w:pPr>
      <w:r>
        <w:t>DEDJTR, in relation to the historic production of extractive resources in Victoria, provided from 1991 to 201</w:t>
      </w:r>
      <w:r w:rsidR="00952FD0">
        <w:t>4</w:t>
      </w:r>
      <w:r>
        <w:t>, and Victoria Transport Modelling (VITM) data with respect to 2046 population projections by LGA and employment projections by LGA in 2011, 2021, 2031 and 2046.</w:t>
      </w:r>
    </w:p>
    <w:p w:rsidR="00D1700C" w:rsidRDefault="00D1700C" w:rsidP="00D1700C">
      <w:pPr>
        <w:pStyle w:val="ListBullet"/>
      </w:pPr>
      <w:r>
        <w:t>Victoria in the Future 2015 (VIF 2015), with respect to 2011, 2021 and 2031 population and household size projections by LGA and Statistical Areas Level 2 (SA2).</w:t>
      </w:r>
    </w:p>
    <w:p w:rsidR="00D1700C" w:rsidRDefault="00D1700C" w:rsidP="0089081A">
      <w:pPr>
        <w:pStyle w:val="ListBullet"/>
      </w:pPr>
      <w:r>
        <w:t xml:space="preserve">Australian Bureau of Statistics (ABS) data, with respect to the construction value of works done </w:t>
      </w:r>
      <w:r w:rsidR="008D50DC">
        <w:t>by</w:t>
      </w:r>
      <w:r>
        <w:t xml:space="preserve"> construction activit</w:t>
      </w:r>
      <w:r w:rsidR="008D50DC">
        <w:t>y type</w:t>
      </w:r>
      <w:r w:rsidR="007876CF">
        <w:t>, and other items.</w:t>
      </w:r>
    </w:p>
    <w:p w:rsidR="00D1700C" w:rsidRDefault="00D1700C" w:rsidP="0089081A">
      <w:pPr>
        <w:pStyle w:val="ListBullet"/>
      </w:pPr>
      <w:r>
        <w:t xml:space="preserve">State Budget Papers in relation to </w:t>
      </w:r>
      <w:r w:rsidR="008D50DC">
        <w:t xml:space="preserve">historical </w:t>
      </w:r>
      <w:r>
        <w:t xml:space="preserve">Gross State Product (GSP) data and projections </w:t>
      </w:r>
      <w:r w:rsidR="008D50DC">
        <w:t xml:space="preserve">of </w:t>
      </w:r>
      <w:r>
        <w:t>government spending on infrastructure.</w:t>
      </w:r>
    </w:p>
    <w:p w:rsidR="00D1700C" w:rsidRDefault="00D1700C" w:rsidP="0089081A">
      <w:pPr>
        <w:pStyle w:val="ListBullet"/>
      </w:pPr>
      <w:r>
        <w:t>Other Government sources (e.g. Australian Grant Commission Annual Reports, growth areas precinct plans).</w:t>
      </w:r>
    </w:p>
    <w:p w:rsidR="00D1700C" w:rsidRDefault="00D1700C" w:rsidP="0089081A">
      <w:pPr>
        <w:pStyle w:val="ListBullet"/>
      </w:pPr>
      <w:r>
        <w:t xml:space="preserve">Reserve Bank of Australia (RBA) with respect to </w:t>
      </w:r>
      <w:r w:rsidR="008D50DC">
        <w:t xml:space="preserve">historical </w:t>
      </w:r>
      <w:r>
        <w:t>interest rate data.</w:t>
      </w:r>
    </w:p>
    <w:p w:rsidR="00D1700C" w:rsidRDefault="00D1700C" w:rsidP="0089081A">
      <w:pPr>
        <w:pStyle w:val="ListBullet"/>
      </w:pPr>
      <w:r>
        <w:t>BIS Shrapnel – Engineering Construction Activity data to identify transport major projects planned to be developed by the Victorian Government.</w:t>
      </w:r>
    </w:p>
    <w:p w:rsidR="00D1700C" w:rsidRDefault="007876CF" w:rsidP="0089081A">
      <w:pPr>
        <w:pStyle w:val="ListBullet"/>
      </w:pPr>
      <w:r>
        <w:t>The s</w:t>
      </w:r>
      <w:r w:rsidR="009C0AA7">
        <w:t>ervice provider</w:t>
      </w:r>
      <w:r w:rsidR="008D50DC">
        <w:t>’</w:t>
      </w:r>
      <w:r w:rsidR="009C0AA7">
        <w:t xml:space="preserve">s </w:t>
      </w:r>
      <w:r w:rsidR="00D1700C">
        <w:t>knowledge on future infrastructure transport projects.</w:t>
      </w:r>
    </w:p>
    <w:p w:rsidR="00D1700C" w:rsidRDefault="00D1700C" w:rsidP="0089081A">
      <w:pPr>
        <w:pStyle w:val="ListBullet"/>
      </w:pPr>
      <w:r>
        <w:t>Additional reports such as the Economic Contribution of the Extractive Industries in Victoria prepared for Cement Concrete &amp; Aggregates Australia in May 2006.</w:t>
      </w:r>
    </w:p>
    <w:p w:rsidR="00D1700C" w:rsidRDefault="00D1700C" w:rsidP="0089081A">
      <w:pPr>
        <w:pStyle w:val="ListBullet"/>
      </w:pPr>
      <w:r>
        <w:t xml:space="preserve">Interviews with industry stakeholders, through a formal stakeholder consultation launched by </w:t>
      </w:r>
      <w:r w:rsidR="00ED479A">
        <w:t>DEDJTR</w:t>
      </w:r>
      <w:r>
        <w:t xml:space="preserve"> on 22 October 2015. </w:t>
      </w:r>
    </w:p>
    <w:p w:rsidR="00D1700C" w:rsidRDefault="005C18E7" w:rsidP="005C18E7">
      <w:pPr>
        <w:pStyle w:val="ListBullet"/>
      </w:pPr>
      <w:r w:rsidRPr="005C18E7">
        <w:t>Final inputs from DEDJTR's technical advisor that identified and quantified extractive resources used in Victoria's construction activities</w:t>
      </w:r>
      <w:r w:rsidR="00D1700C">
        <w:t xml:space="preserve">. </w:t>
      </w:r>
    </w:p>
    <w:p w:rsidR="00950500" w:rsidRDefault="00950500" w:rsidP="006916CE">
      <w:pPr>
        <w:pStyle w:val="Heading7"/>
      </w:pPr>
      <w:r>
        <w:t>Outputs</w:t>
      </w:r>
    </w:p>
    <w:p w:rsidR="00950500" w:rsidRDefault="00950500" w:rsidP="006916CE">
      <w:pPr>
        <w:pStyle w:val="PwCNormal"/>
      </w:pPr>
      <w:r>
        <w:t>At the request of DEDJTR, PwC disaggregated the demand forecasts to achieve consistency with the granular understanding of extractives supply. These inputs were required to feed in to the demand-supply model</w:t>
      </w:r>
      <w:r w:rsidR="007876CF">
        <w:t>ling undertaken by PwC</w:t>
      </w:r>
      <w:r>
        <w:t>.</w:t>
      </w:r>
      <w:r w:rsidR="007876CF">
        <w:t xml:space="preserve"> The methodology adopted to achieve this disaggregation is described below.</w:t>
      </w:r>
    </w:p>
    <w:p w:rsidR="00A84FDF" w:rsidRDefault="00A84FDF" w:rsidP="006916CE">
      <w:pPr>
        <w:pStyle w:val="Minorheading"/>
      </w:pPr>
      <w:r>
        <w:t>Granular spatial redistribution of demand</w:t>
      </w:r>
    </w:p>
    <w:p w:rsidR="00A84FDF" w:rsidRDefault="00A84FDF" w:rsidP="00A84FDF">
      <w:pPr>
        <w:pStyle w:val="Minorheading3"/>
      </w:pPr>
      <w:r>
        <w:t>Geospatial granularity of the demand study</w:t>
      </w:r>
    </w:p>
    <w:p w:rsidR="00A84FDF" w:rsidRDefault="00A84FDF" w:rsidP="006916CE">
      <w:pPr>
        <w:pStyle w:val="PwCNormal"/>
      </w:pPr>
      <w:r w:rsidRPr="008568E3">
        <w:t xml:space="preserve">The demand analysis outputs were provided to PwC at the LGA-level for each year and rock type covered in the analysis. There are 79 LGAs in Victoria, meaning demand within the </w:t>
      </w:r>
      <w:r>
        <w:t>S</w:t>
      </w:r>
      <w:r w:rsidRPr="008568E3">
        <w:t>tate was split among 79 sub-regions. Victoria’s LGAs are depicted in</w:t>
      </w:r>
      <w:r>
        <w:t xml:space="preserve"> </w:t>
      </w:r>
      <w:r w:rsidR="002B100D">
        <w:rPr>
          <w:rStyle w:val="BodyTextChar"/>
        </w:rPr>
        <w:fldChar w:fldCharType="begin"/>
      </w:r>
      <w:r w:rsidR="002B100D">
        <w:instrText xml:space="preserve"> REF _Ref447628685 \h </w:instrText>
      </w:r>
      <w:r w:rsidR="002B100D">
        <w:rPr>
          <w:rStyle w:val="BodyTextChar"/>
        </w:rPr>
      </w:r>
      <w:r w:rsidR="002B100D">
        <w:rPr>
          <w:rStyle w:val="BodyTextChar"/>
        </w:rPr>
        <w:fldChar w:fldCharType="separate"/>
      </w:r>
      <w:r w:rsidR="00E22E13">
        <w:t xml:space="preserve">Figure </w:t>
      </w:r>
      <w:r w:rsidR="00E22E13">
        <w:rPr>
          <w:noProof/>
        </w:rPr>
        <w:t>4</w:t>
      </w:r>
      <w:r w:rsidR="002B100D">
        <w:rPr>
          <w:rStyle w:val="BodyTextChar"/>
        </w:rPr>
        <w:fldChar w:fldCharType="end"/>
      </w:r>
      <w:r>
        <w:t xml:space="preserve"> for reference.</w:t>
      </w:r>
    </w:p>
    <w:p w:rsidR="00230315" w:rsidRDefault="00A84FDF" w:rsidP="00A84FDF">
      <w:pPr>
        <w:pStyle w:val="PwCNormal"/>
      </w:pPr>
      <w:r>
        <w:t xml:space="preserve">Many of these 79 LGAs cover a relatively large geographic area, such as </w:t>
      </w:r>
      <w:r w:rsidRPr="00A05092">
        <w:t>East Gippsland</w:t>
      </w:r>
      <w:r>
        <w:t xml:space="preserve"> which has an area of close to 21,</w:t>
      </w:r>
      <w:r w:rsidRPr="007972FB">
        <w:t>000km</w:t>
      </w:r>
      <w:r w:rsidR="00230315">
        <w:rPr>
          <w:vertAlign w:val="superscript"/>
        </w:rPr>
        <w:t>2</w:t>
      </w:r>
      <w:r w:rsidR="00230315">
        <w:t xml:space="preserve"> (or 9.2 per cent of Victoria’s area) </w:t>
      </w:r>
      <w:r w:rsidRPr="007972FB">
        <w:t>and</w:t>
      </w:r>
      <w:r>
        <w:t xml:space="preserve"> Mildura at over 22,000km</w:t>
      </w:r>
      <w:r>
        <w:rPr>
          <w:vertAlign w:val="superscript"/>
        </w:rPr>
        <w:t>2</w:t>
      </w:r>
      <w:r w:rsidR="00230315">
        <w:rPr>
          <w:vertAlign w:val="superscript"/>
        </w:rPr>
        <w:t xml:space="preserve"> </w:t>
      </w:r>
      <w:r w:rsidR="00230315">
        <w:t>(or 9.7 per cent of Victoria’s area).</w:t>
      </w:r>
      <w:r>
        <w:t xml:space="preserve"> Information on the underlying distributions of demand</w:t>
      </w:r>
      <w:r w:rsidR="00A05092">
        <w:t xml:space="preserve"> within LGAs</w:t>
      </w:r>
      <w:r>
        <w:t xml:space="preserve"> for different rock types was not provided by the service provider in the demand analysis. Rather demand was assumed to be uniform across each LGA’s surface.</w:t>
      </w:r>
      <w:r w:rsidR="00AD370C">
        <w:rPr>
          <w:rStyle w:val="FootnoteReference"/>
        </w:rPr>
        <w:footnoteReference w:id="13"/>
      </w:r>
      <w:r>
        <w:t xml:space="preserve"> </w:t>
      </w:r>
    </w:p>
    <w:p w:rsidR="00230315" w:rsidRDefault="00230315" w:rsidP="00A84FDF">
      <w:pPr>
        <w:pStyle w:val="PwCNormal"/>
      </w:pPr>
      <w:r>
        <w:t xml:space="preserve">A more granular analysis was considered necessary to build upon the work prepared within the demand study. </w:t>
      </w:r>
      <w:r w:rsidR="00AD370C">
        <w:t>To meet this requirement, DEDJTR engaged PwC to re-distribute the LGA-level demand data to different localities and regions within each LGA.</w:t>
      </w:r>
    </w:p>
    <w:p w:rsidR="00A84FDF" w:rsidRDefault="00A84FDF" w:rsidP="00A84FDF">
      <w:pPr>
        <w:pStyle w:val="PwCNormal"/>
      </w:pPr>
    </w:p>
    <w:p w:rsidR="00A84FDF" w:rsidRDefault="00A84FDF" w:rsidP="00A84FDF">
      <w:pPr>
        <w:pStyle w:val="PwCNormal"/>
        <w:sectPr w:rsidR="00A84FDF" w:rsidSect="001A7D05">
          <w:pgSz w:w="11907" w:h="16840" w:code="9"/>
          <w:pgMar w:top="1588" w:right="1843" w:bottom="1418" w:left="1843" w:header="567" w:footer="567" w:gutter="0"/>
          <w:cols w:space="227"/>
          <w:titlePg/>
          <w:docGrid w:linePitch="360"/>
        </w:sectPr>
      </w:pPr>
    </w:p>
    <w:p w:rsidR="00A84FDF" w:rsidRDefault="00A84FDF" w:rsidP="00A84FDF">
      <w:pPr>
        <w:pStyle w:val="Caption"/>
      </w:pPr>
      <w:bookmarkStart w:id="65" w:name="_Ref447628685"/>
      <w:r>
        <w:t xml:space="preserve">Figure </w:t>
      </w:r>
      <w:fldSimple w:instr=" SEQ Figure \* ARABIC ">
        <w:r w:rsidR="00E22E13">
          <w:rPr>
            <w:noProof/>
          </w:rPr>
          <w:t>4</w:t>
        </w:r>
      </w:fldSimple>
      <w:bookmarkEnd w:id="65"/>
      <w:r>
        <w:t>: Victoria's Local Government Areas (LGAs)</w:t>
      </w:r>
    </w:p>
    <w:p w:rsidR="00A84FDF" w:rsidRDefault="00A84FDF" w:rsidP="00A84FDF">
      <w:pPr>
        <w:pStyle w:val="Sources"/>
      </w:pPr>
      <w:r>
        <w:rPr>
          <w:noProof/>
          <w:lang w:eastAsia="en-AU"/>
        </w:rPr>
        <mc:AlternateContent>
          <mc:Choice Requires="wps">
            <w:drawing>
              <wp:anchor distT="0" distB="0" distL="114300" distR="114300" simplePos="0" relativeHeight="251687936" behindDoc="0" locked="0" layoutInCell="1" allowOverlap="1" wp14:anchorId="1136903B" wp14:editId="7547E4DF">
                <wp:simplePos x="0" y="0"/>
                <wp:positionH relativeFrom="column">
                  <wp:posOffset>4576445</wp:posOffset>
                </wp:positionH>
                <wp:positionV relativeFrom="paragraph">
                  <wp:posOffset>4276725</wp:posOffset>
                </wp:positionV>
                <wp:extent cx="1866900" cy="1403985"/>
                <wp:effectExtent l="0" t="0" r="19050" b="222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chemeClr val="bg1"/>
                        </a:solidFill>
                        <a:ln w="9525">
                          <a:solidFill>
                            <a:schemeClr val="bg1"/>
                          </a:solidFill>
                          <a:miter lim="800000"/>
                          <a:headEnd/>
                          <a:tailEnd/>
                        </a:ln>
                      </wps:spPr>
                      <wps:txbx>
                        <w:txbxContent>
                          <w:p w:rsidR="00F752F4" w:rsidRPr="00566DB7" w:rsidRDefault="00F752F4" w:rsidP="00A84FDF">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6903B" id="_x0000_s1027" type="#_x0000_t202" style="position:absolute;margin-left:360.35pt;margin-top:336.75pt;width:147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" fillcolor="white [3212]" strokecolor="white [3212]">
                <v:textbox style="mso-fit-shape-to-text:t">
                  <w:txbxContent>
                    <w:p w:rsidR="00F752F4" w:rsidRPr="00566DB7" w:rsidRDefault="00F752F4" w:rsidP="00A84FDF">
                      <w:pPr>
                        <w:rPr>
                          <w:color w:val="FFFFFF" w:themeColor="background1"/>
                        </w:rPr>
                      </w:pPr>
                    </w:p>
                  </w:txbxContent>
                </v:textbox>
              </v:shape>
            </w:pict>
          </mc:Fallback>
        </mc:AlternateContent>
      </w:r>
      <w:r>
        <w:rPr>
          <w:noProof/>
          <w:snapToGrid/>
          <w:lang w:eastAsia="en-AU"/>
        </w:rPr>
        <w:drawing>
          <wp:inline distT="0" distB="0" distL="0" distR="0" wp14:anchorId="62243D1D" wp14:editId="2349765A">
            <wp:extent cx="7044761" cy="4900473"/>
            <wp:effectExtent l="0" t="0" r="3810" b="0"/>
            <wp:docPr id="305" name="Picture 305" descr="This figure shows a map of Victoria's Local Government Areas.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044761" cy="4900473"/>
                    </a:xfrm>
                    <a:prstGeom prst="rect">
                      <a:avLst/>
                    </a:prstGeom>
                  </pic:spPr>
                </pic:pic>
              </a:graphicData>
            </a:graphic>
          </wp:inline>
        </w:drawing>
      </w:r>
      <w:r>
        <w:t>Source: PwC’s GEM</w:t>
      </w:r>
    </w:p>
    <w:p w:rsidR="00A84FDF" w:rsidRDefault="00A84FDF" w:rsidP="00950500">
      <w:pPr>
        <w:pStyle w:val="PwCNormal"/>
        <w:sectPr w:rsidR="00A84FDF" w:rsidSect="001A7D05">
          <w:pgSz w:w="16840" w:h="11907" w:orient="landscape" w:code="9"/>
          <w:pgMar w:top="1843" w:right="1588" w:bottom="1843" w:left="1418" w:header="567" w:footer="567" w:gutter="0"/>
          <w:cols w:space="227"/>
          <w:docGrid w:linePitch="360"/>
        </w:sectPr>
      </w:pPr>
    </w:p>
    <w:p w:rsidR="00622D10" w:rsidRDefault="00622D10" w:rsidP="00622D10">
      <w:pPr>
        <w:pStyle w:val="Minorheading3"/>
      </w:pPr>
      <w:r>
        <w:t>Distribution of demand to Victorian localities</w:t>
      </w:r>
    </w:p>
    <w:p w:rsidR="00622D10" w:rsidRPr="00640837" w:rsidRDefault="00622D10" w:rsidP="00622D10">
      <w:pPr>
        <w:pStyle w:val="PwCNormal"/>
      </w:pPr>
      <w:r>
        <w:t>Victoria’s urban centres and localities</w:t>
      </w:r>
      <w:r w:rsidR="00AD370C">
        <w:t xml:space="preserve"> (UCLs)</w:t>
      </w:r>
      <w:r>
        <w:t>, as defined by the ABS</w:t>
      </w:r>
      <w:r w:rsidRPr="00DE4CE0">
        <w:t xml:space="preserve"> </w:t>
      </w:r>
      <w:r>
        <w:t xml:space="preserve">were utilised </w:t>
      </w:r>
      <w:r w:rsidR="007876CF">
        <w:t>to re-distribute the LGA-level demand data down to a more granular level</w:t>
      </w:r>
      <w:r>
        <w:t xml:space="preserve">. </w:t>
      </w:r>
      <w:r w:rsidR="00AD370C">
        <w:t>UCLs are defined as Australian population centres exceeding 200 persons.</w:t>
      </w:r>
      <w:r w:rsidR="00AD370C">
        <w:rPr>
          <w:rStyle w:val="FootnoteReference"/>
        </w:rPr>
        <w:footnoteReference w:id="14"/>
      </w:r>
      <w:r w:rsidR="00AD370C">
        <w:t xml:space="preserve"> A </w:t>
      </w:r>
      <w:r>
        <w:t xml:space="preserve">detailed description of </w:t>
      </w:r>
      <w:r w:rsidR="009C7D8B">
        <w:t xml:space="preserve">PwC’s </w:t>
      </w:r>
      <w:r>
        <w:t xml:space="preserve">methodology is </w:t>
      </w:r>
      <w:r w:rsidRPr="00DC0ADA">
        <w:t xml:space="preserve">provided in </w:t>
      </w:r>
      <w:r w:rsidR="00AD370C">
        <w:fldChar w:fldCharType="begin"/>
      </w:r>
      <w:r w:rsidR="00AD370C">
        <w:instrText xml:space="preserve"> REF _Ref448241020 \n \h </w:instrText>
      </w:r>
      <w:r w:rsidR="00AD370C">
        <w:fldChar w:fldCharType="separate"/>
      </w:r>
      <w:r w:rsidR="00E22E13">
        <w:t>Appendix C</w:t>
      </w:r>
      <w:r w:rsidR="00AD370C">
        <w:fldChar w:fldCharType="end"/>
      </w:r>
      <w:r w:rsidRPr="00DC0ADA">
        <w:t>.</w:t>
      </w:r>
    </w:p>
    <w:p w:rsidR="00622D10" w:rsidRDefault="00622D10" w:rsidP="006916CE">
      <w:pPr>
        <w:pStyle w:val="PwCNormal"/>
      </w:pPr>
      <w:r w:rsidRPr="00DC0ADA">
        <w:t xml:space="preserve">This component of the analysis resulted in a redistribution of demand from 79 LGAs to nearly 500 individual Victorian localities, offering a significantly more granular view of the demand for extractive resources within the </w:t>
      </w:r>
      <w:r>
        <w:t>S</w:t>
      </w:r>
      <w:r w:rsidRPr="00DC0ADA">
        <w:t>tate.</w:t>
      </w:r>
      <w:r w:rsidRPr="00B459A4">
        <w:rPr>
          <w:vertAlign w:val="superscript"/>
        </w:rPr>
        <w:footnoteReference w:id="15"/>
      </w:r>
      <w:r w:rsidRPr="00B459A4">
        <w:rPr>
          <w:vertAlign w:val="superscript"/>
        </w:rPr>
        <w:t xml:space="preserve"> </w:t>
      </w:r>
      <w:r w:rsidRPr="00DC0ADA">
        <w:t xml:space="preserve"> An illustration of Victoria’s localities which were used in </w:t>
      </w:r>
      <w:r w:rsidR="00A05092">
        <w:t>the</w:t>
      </w:r>
      <w:r w:rsidRPr="00DC0ADA">
        <w:t xml:space="preserve"> analysis is </w:t>
      </w:r>
      <w:r w:rsidR="007876CF">
        <w:t xml:space="preserve">provided </w:t>
      </w:r>
      <w:r w:rsidRPr="00B36C87">
        <w:t xml:space="preserve">in </w:t>
      </w:r>
      <w:r w:rsidR="00A05092" w:rsidRPr="006916CE">
        <w:rPr>
          <w:rStyle w:val="PwCNormalChar"/>
        </w:rPr>
        <w:fldChar w:fldCharType="begin"/>
      </w:r>
      <w:r w:rsidR="00A05092" w:rsidRPr="006916CE">
        <w:rPr>
          <w:rStyle w:val="PwCNormalChar"/>
        </w:rPr>
        <w:instrText xml:space="preserve"> REF _Ref447629800 \h </w:instrText>
      </w:r>
      <w:r w:rsidR="00A05092" w:rsidRPr="006916CE">
        <w:rPr>
          <w:rStyle w:val="PwCNormalChar"/>
        </w:rPr>
      </w:r>
      <w:r w:rsidR="00A05092" w:rsidRPr="006916CE">
        <w:rPr>
          <w:rStyle w:val="PwCNormalChar"/>
        </w:rPr>
        <w:fldChar w:fldCharType="separate"/>
      </w:r>
      <w:r w:rsidR="00E22E13">
        <w:t xml:space="preserve">Figure </w:t>
      </w:r>
      <w:r w:rsidR="00E22E13">
        <w:rPr>
          <w:noProof/>
        </w:rPr>
        <w:t>5</w:t>
      </w:r>
      <w:r w:rsidR="00A05092" w:rsidRPr="006916CE">
        <w:rPr>
          <w:rStyle w:val="PwCNormalChar"/>
        </w:rPr>
        <w:fldChar w:fldCharType="end"/>
      </w:r>
      <w:r w:rsidR="000125A1">
        <w:rPr>
          <w:rStyle w:val="PwCNormalChar"/>
        </w:rPr>
        <w:t xml:space="preserve"> below</w:t>
      </w:r>
      <w:r w:rsidR="007876CF">
        <w:rPr>
          <w:rStyle w:val="PwCNormalChar"/>
        </w:rPr>
        <w:t>; localities are represented as dark triangles in the figure</w:t>
      </w:r>
      <w:r w:rsidRPr="00DC0ADA">
        <w:t>.</w:t>
      </w:r>
      <w:r w:rsidR="001614DC">
        <w:rPr>
          <w:rStyle w:val="FootnoteReference"/>
        </w:rPr>
        <w:footnoteReference w:id="16"/>
      </w:r>
    </w:p>
    <w:p w:rsidR="00622D10" w:rsidRDefault="00622D10" w:rsidP="00622D10">
      <w:pPr>
        <w:pStyle w:val="Caption"/>
      </w:pPr>
      <w:bookmarkStart w:id="66" w:name="_Ref447629800"/>
      <w:r>
        <w:t xml:space="preserve">Figure </w:t>
      </w:r>
      <w:fldSimple w:instr=" SEQ Figure \* ARABIC ">
        <w:r w:rsidR="00E22E13">
          <w:rPr>
            <w:noProof/>
          </w:rPr>
          <w:t>5</w:t>
        </w:r>
      </w:fldSimple>
      <w:bookmarkEnd w:id="66"/>
      <w:r>
        <w:t xml:space="preserve">: Victorian </w:t>
      </w:r>
      <w:r w:rsidR="00AD370C">
        <w:t xml:space="preserve">urban centres and </w:t>
      </w:r>
      <w:r>
        <w:t>localities used in the analysis</w:t>
      </w:r>
    </w:p>
    <w:p w:rsidR="00622D10" w:rsidRDefault="006A5FE3" w:rsidP="00622D10">
      <w:pPr>
        <w:pStyle w:val="Sources"/>
      </w:pPr>
      <w:r>
        <w:rPr>
          <w:noProof/>
          <w:snapToGrid/>
          <w:lang w:eastAsia="en-AU"/>
        </w:rPr>
        <w:drawing>
          <wp:inline distT="0" distB="0" distL="0" distR="0" wp14:anchorId="01DF473E" wp14:editId="6DBCBA03">
            <wp:extent cx="5220335" cy="3732874"/>
            <wp:effectExtent l="0" t="0" r="0" b="1270"/>
            <wp:docPr id="15410" name="Picture 15410" descr="This figure shows a map of Victorian urban centres and localities used in the analysis.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20335" cy="3732874"/>
                    </a:xfrm>
                    <a:prstGeom prst="rect">
                      <a:avLst/>
                    </a:prstGeom>
                  </pic:spPr>
                </pic:pic>
              </a:graphicData>
            </a:graphic>
          </wp:inline>
        </w:drawing>
      </w:r>
      <w:r w:rsidR="00622D10" w:rsidRPr="003657CE">
        <w:t xml:space="preserve"> </w:t>
      </w:r>
      <w:r w:rsidR="00622D10">
        <w:t>Source: PwC’s GEM, OpenStreetMap</w:t>
      </w:r>
      <w:r w:rsidR="00AD370C">
        <w:t xml:space="preserve">. </w:t>
      </w:r>
    </w:p>
    <w:p w:rsidR="006A5FE3" w:rsidRDefault="006A5FE3" w:rsidP="006916CE">
      <w:pPr>
        <w:pStyle w:val="PwCNormal"/>
      </w:pPr>
      <w:r>
        <w:t xml:space="preserve">The urban centres and localities mapped as black triangles in </w:t>
      </w:r>
      <w:r>
        <w:fldChar w:fldCharType="begin"/>
      </w:r>
      <w:r>
        <w:instrText xml:space="preserve"> REF _Ref447629800 \h </w:instrText>
      </w:r>
      <w:r>
        <w:fldChar w:fldCharType="separate"/>
      </w:r>
      <w:r w:rsidR="00E22E13">
        <w:t xml:space="preserve">Figure </w:t>
      </w:r>
      <w:r w:rsidR="00E22E13">
        <w:rPr>
          <w:noProof/>
        </w:rPr>
        <w:t>5</w:t>
      </w:r>
      <w:r>
        <w:fldChar w:fldCharType="end"/>
      </w:r>
      <w:r>
        <w:t xml:space="preserve"> comprise:</w:t>
      </w:r>
    </w:p>
    <w:p w:rsidR="006A5FE3" w:rsidRDefault="006A5FE3" w:rsidP="006916CE">
      <w:pPr>
        <w:pStyle w:val="ListBullet"/>
      </w:pPr>
      <w:r>
        <w:t xml:space="preserve">UCLs as defined above, which are used to understand the population-based demand for extractive resources within an LGA. </w:t>
      </w:r>
      <w:r w:rsidR="007972FB">
        <w:t>R</w:t>
      </w:r>
      <w:r>
        <w:t>esidential and commercial construction</w:t>
      </w:r>
      <w:r w:rsidR="007972FB">
        <w:t xml:space="preserve"> are examples of demand types that are considered to be population-based, as these construction types are undertaken close to where people live.</w:t>
      </w:r>
    </w:p>
    <w:p w:rsidR="006A5FE3" w:rsidRDefault="006A5FE3" w:rsidP="006916CE">
      <w:pPr>
        <w:pStyle w:val="ListBullet"/>
      </w:pPr>
      <w:r>
        <w:t>LGA centroids, which are used to understand the demand within an LGA that does not necessarily relate to population, such as engineering and utilities construction</w:t>
      </w:r>
      <w:r w:rsidR="007972FB">
        <w:t xml:space="preserve"> which can occur at a distance from places where people live.</w:t>
      </w:r>
      <w:r>
        <w:t xml:space="preserve"> </w:t>
      </w:r>
    </w:p>
    <w:p w:rsidR="006A5FE3" w:rsidRPr="007972FB" w:rsidRDefault="006A5FE3" w:rsidP="006916CE">
      <w:pPr>
        <w:pStyle w:val="PwCNormal"/>
      </w:pPr>
      <w:r>
        <w:t>Given the extractive resource supply information was collected at a Work Authority level, the re-distributed demand data provided a more appropriate level of spatial analysis for the integrated supply-demand study.</w:t>
      </w:r>
    </w:p>
    <w:p w:rsidR="008B1CF9" w:rsidRDefault="00E344DF" w:rsidP="006916CE">
      <w:pPr>
        <w:pStyle w:val="Heading7"/>
      </w:pPr>
      <w:bookmarkStart w:id="67" w:name="_Ref448245337"/>
      <w:r>
        <w:t>Demand s</w:t>
      </w:r>
      <w:r w:rsidR="008B1CF9">
        <w:t>cenarios</w:t>
      </w:r>
      <w:bookmarkEnd w:id="67"/>
    </w:p>
    <w:p w:rsidR="008B1CF9" w:rsidRDefault="008B1CF9" w:rsidP="006916CE">
      <w:pPr>
        <w:pStyle w:val="PwCNormal"/>
      </w:pPr>
      <w:r>
        <w:t>Several scenarios were considered as part of the demand analysis</w:t>
      </w:r>
      <w:r w:rsidR="00AC3917">
        <w:t xml:space="preserve">. Scenarios 1A and 2A reflect uniform up- and down-shifts in demand by 20 per cent respectively, while scenarios 3A and 3B consider different redistributions of demand within the State while holding the overall demand level constant. The demand scenarios are described in further detail below. </w:t>
      </w:r>
    </w:p>
    <w:p w:rsidR="007D2210" w:rsidRDefault="007D2210" w:rsidP="006916CE">
      <w:pPr>
        <w:pStyle w:val="PwCNormal"/>
      </w:pPr>
      <w:r>
        <w:t>The demand study classifies Victorian LGAs into one of three categories:</w:t>
      </w:r>
    </w:p>
    <w:p w:rsidR="007D2210" w:rsidRPr="001E1DC3" w:rsidRDefault="00DF37B9" w:rsidP="006916CE">
      <w:pPr>
        <w:pStyle w:val="PwCNormal"/>
        <w:numPr>
          <w:ilvl w:val="0"/>
          <w:numId w:val="54"/>
        </w:numPr>
      </w:pPr>
      <w:r>
        <w:t>Ur</w:t>
      </w:r>
      <w:r w:rsidRPr="001E1DC3">
        <w:t>ban growth area</w:t>
      </w:r>
      <w:r w:rsidR="000125A1" w:rsidRPr="001E1DC3">
        <w:t xml:space="preserve"> –</w:t>
      </w:r>
      <w:r w:rsidR="00055BF4" w:rsidRPr="00055BF4">
        <w:rPr>
          <w:rFonts w:ascii="Arial" w:hAnsi="Arial"/>
        </w:rPr>
        <w:t xml:space="preserve"> </w:t>
      </w:r>
      <w:r w:rsidR="00055BF4" w:rsidRPr="006916CE">
        <w:t>The Metropolitan Planning Authority has identified seven Urban Growth Areas within Metropolitan Melbourne, where significant economic development is expecte</w:t>
      </w:r>
      <w:r w:rsidR="00055BF4" w:rsidRPr="007C0A9C">
        <w:t>d</w:t>
      </w:r>
      <w:r w:rsidR="00055BF4">
        <w:t xml:space="preserve">. LGAs classified as </w:t>
      </w:r>
      <w:r w:rsidR="00CE2E61">
        <w:t>urban</w:t>
      </w:r>
      <w:r w:rsidR="00055BF4">
        <w:t xml:space="preserve"> growth areas are Cardinia, Casey, Hume, Melton, Mitchell, Whittlesea and Wyndham. </w:t>
      </w:r>
    </w:p>
    <w:p w:rsidR="000125A1" w:rsidRDefault="00DF37B9" w:rsidP="000125A1">
      <w:pPr>
        <w:pStyle w:val="PwCNormal"/>
        <w:numPr>
          <w:ilvl w:val="0"/>
          <w:numId w:val="54"/>
        </w:numPr>
      </w:pPr>
      <w:r w:rsidRPr="00DF37B9">
        <w:t>Urban infill</w:t>
      </w:r>
      <w:r w:rsidR="000125A1" w:rsidRPr="00DF37B9">
        <w:t xml:space="preserve"> – </w:t>
      </w:r>
      <w:r w:rsidR="00055BF4">
        <w:t xml:space="preserve">The remaining LGAs within Metropolitan Melbourne that are not categorised as </w:t>
      </w:r>
      <w:r w:rsidR="00CE2E61">
        <w:t>urban</w:t>
      </w:r>
      <w:r w:rsidR="00055BF4">
        <w:t xml:space="preserve"> growth area LGAs are defined as </w:t>
      </w:r>
      <w:r w:rsidR="00CE2E61">
        <w:t>urban</w:t>
      </w:r>
      <w:r w:rsidR="00055BF4">
        <w:t xml:space="preserve"> infill area LGAs. This includes the inner areas of Metropolitan Melbourne including the inner city regions of Yarra, Stonnington, Whitehorse and Moreland. Established urban areas in Metropolitan Melbourne’s suburbs are also considered urban infill. This includes LGAs such as Frankston, Maroondah and Nilumbik. A full list of LGAs defined as </w:t>
      </w:r>
      <w:r w:rsidR="00CE2E61">
        <w:t>urban</w:t>
      </w:r>
      <w:r w:rsidR="00055BF4">
        <w:t xml:space="preserve"> infill areas is provided at </w:t>
      </w:r>
      <w:r w:rsidR="00055BF4">
        <w:fldChar w:fldCharType="begin"/>
      </w:r>
      <w:r w:rsidR="00055BF4">
        <w:instrText xml:space="preserve"> REF _Ref448244143 \n \h </w:instrText>
      </w:r>
      <w:r w:rsidR="00055BF4">
        <w:fldChar w:fldCharType="separate"/>
      </w:r>
      <w:r w:rsidR="00E22E13">
        <w:t>Appendix F</w:t>
      </w:r>
      <w:r w:rsidR="00055BF4">
        <w:fldChar w:fldCharType="end"/>
      </w:r>
      <w:r w:rsidR="00055BF4">
        <w:t>.</w:t>
      </w:r>
    </w:p>
    <w:p w:rsidR="000125A1" w:rsidRDefault="007D2210" w:rsidP="000125A1">
      <w:pPr>
        <w:pStyle w:val="PwCNormal"/>
        <w:numPr>
          <w:ilvl w:val="0"/>
          <w:numId w:val="54"/>
        </w:numPr>
      </w:pPr>
      <w:r>
        <w:t>Regional</w:t>
      </w:r>
      <w:r w:rsidR="000125A1">
        <w:t xml:space="preserve"> – </w:t>
      </w:r>
      <w:r w:rsidR="00055BF4">
        <w:t xml:space="preserve">Regional LGAs are defined as those LGAs outside the Metropolitan Melbourne boundary. This includes regional city LGAs such as Ballarat and Greater Geelong, along with rural areas such as Corangamite, Indigo and East Gippsland. A full list of LGAs defined as Regional is provided at </w:t>
      </w:r>
      <w:r w:rsidR="00055BF4">
        <w:fldChar w:fldCharType="begin"/>
      </w:r>
      <w:r w:rsidR="00055BF4">
        <w:instrText xml:space="preserve"> REF _Ref448244143 \n \h </w:instrText>
      </w:r>
      <w:r w:rsidR="00055BF4">
        <w:fldChar w:fldCharType="separate"/>
      </w:r>
      <w:r w:rsidR="00E22E13">
        <w:t>Appendix F</w:t>
      </w:r>
      <w:r w:rsidR="00055BF4">
        <w:fldChar w:fldCharType="end"/>
      </w:r>
      <w:r w:rsidR="00055BF4">
        <w:t>.</w:t>
      </w:r>
    </w:p>
    <w:p w:rsidR="007D2210" w:rsidRDefault="007D2210" w:rsidP="006916CE">
      <w:pPr>
        <w:pStyle w:val="PwCNormal"/>
      </w:pPr>
      <w:r>
        <w:t xml:space="preserve">The classification of LGAs undertaken in the demand study is provided in </w:t>
      </w:r>
      <w:r w:rsidR="00055BF4">
        <w:fldChar w:fldCharType="begin"/>
      </w:r>
      <w:r w:rsidR="00055BF4">
        <w:instrText xml:space="preserve"> REF _Ref448244143 \n \h </w:instrText>
      </w:r>
      <w:r w:rsidR="00055BF4">
        <w:fldChar w:fldCharType="separate"/>
      </w:r>
      <w:r w:rsidR="00E22E13">
        <w:t>Appendix F</w:t>
      </w:r>
      <w:r w:rsidR="00055BF4">
        <w:fldChar w:fldCharType="end"/>
      </w:r>
      <w:r w:rsidR="00055BF4">
        <w:t xml:space="preserve">. </w:t>
      </w:r>
    </w:p>
    <w:p w:rsidR="008B1CF9" w:rsidRDefault="008B1CF9" w:rsidP="006916CE">
      <w:pPr>
        <w:pStyle w:val="Minorheading3"/>
      </w:pPr>
      <w:r>
        <w:t>Baseline Scenario</w:t>
      </w:r>
    </w:p>
    <w:p w:rsidR="008B1CF9" w:rsidRDefault="008B1CF9" w:rsidP="006916CE">
      <w:pPr>
        <w:pStyle w:val="PwCNormal"/>
      </w:pPr>
      <w:r>
        <w:t>The baseline scenario comprises the central set of estimates based on core assumptions and expectations.</w:t>
      </w:r>
    </w:p>
    <w:p w:rsidR="008B1CF9" w:rsidRDefault="008B1CF9" w:rsidP="006916CE">
      <w:pPr>
        <w:pStyle w:val="Minorheading3"/>
      </w:pPr>
      <w:r>
        <w:t>Scenario 1A</w:t>
      </w:r>
    </w:p>
    <w:p w:rsidR="008B1CF9" w:rsidRDefault="008B1CF9" w:rsidP="006916CE">
      <w:pPr>
        <w:pStyle w:val="PwCNormal"/>
      </w:pPr>
      <w:r>
        <w:t xml:space="preserve">Scenario 1A is a ‘high’ scenario where population and employment growth are assumed to be 20 per cent greater than current Government projections. </w:t>
      </w:r>
    </w:p>
    <w:p w:rsidR="008B1CF9" w:rsidRDefault="008B1CF9" w:rsidP="008B1CF9">
      <w:pPr>
        <w:pStyle w:val="PwCNormal"/>
      </w:pPr>
      <w:r>
        <w:t xml:space="preserve">Under this scenario, the demand study assumes that the 20 per cent increase in these projections would result in a 20 per cent increase in construction activities, which flows through to a 20 per cent increase in demand for extractives. </w:t>
      </w:r>
    </w:p>
    <w:p w:rsidR="008B1CF9" w:rsidRDefault="008B1CF9" w:rsidP="006916CE">
      <w:pPr>
        <w:pStyle w:val="Minorheading3"/>
      </w:pPr>
      <w:r>
        <w:t>Scenario 2A</w:t>
      </w:r>
    </w:p>
    <w:p w:rsidR="008B1CF9" w:rsidRDefault="008B1CF9" w:rsidP="008B1CF9">
      <w:pPr>
        <w:pStyle w:val="PwCNormal"/>
      </w:pPr>
      <w:r>
        <w:t>The ‘low’ scenario 2A relates to a 20 per cent decrease in the government projections driving extractive resource demand in Victoria, which then flows through to a 20 per cent decrease in demand for extractives.</w:t>
      </w:r>
    </w:p>
    <w:p w:rsidR="008B1CF9" w:rsidRDefault="008B1CF9" w:rsidP="006916CE">
      <w:pPr>
        <w:pStyle w:val="Minorheading3"/>
      </w:pPr>
      <w:r>
        <w:t>Scenario 3A</w:t>
      </w:r>
    </w:p>
    <w:p w:rsidR="008B1CF9" w:rsidRDefault="008B1CF9">
      <w:pPr>
        <w:pStyle w:val="PwCNormal"/>
      </w:pPr>
      <w:r>
        <w:t>Scenario 3A assesses</w:t>
      </w:r>
      <w:r w:rsidRPr="00786D9A">
        <w:t xml:space="preserve"> the impact</w:t>
      </w:r>
      <w:r>
        <w:t>s</w:t>
      </w:r>
      <w:r w:rsidRPr="00786D9A">
        <w:t xml:space="preserve"> of </w:t>
      </w:r>
      <w:r>
        <w:t xml:space="preserve">greater </w:t>
      </w:r>
      <w:r w:rsidRPr="00786D9A">
        <w:t xml:space="preserve">infill development </w:t>
      </w:r>
      <w:r>
        <w:t>relative to the baseline scenario</w:t>
      </w:r>
      <w:r w:rsidRPr="00786D9A">
        <w:t xml:space="preserve">, therefore resulting in a redistribution of the demand for extractive resources </w:t>
      </w:r>
      <w:r>
        <w:t>towards those LGAs identified as urban infill.</w:t>
      </w:r>
      <w:r w:rsidR="00E344DF">
        <w:t xml:space="preserve"> The aggregate level of demand in the State is </w:t>
      </w:r>
      <w:r w:rsidR="00D54F35">
        <w:t xml:space="preserve">largely </w:t>
      </w:r>
      <w:r w:rsidR="00E344DF">
        <w:t>unchanged from the Baseline scenario.</w:t>
      </w:r>
    </w:p>
    <w:p w:rsidR="008B1CF9" w:rsidRDefault="008B1CF9" w:rsidP="006916CE">
      <w:pPr>
        <w:pStyle w:val="Minorheading3"/>
      </w:pPr>
      <w:r>
        <w:t>Scenario 3B</w:t>
      </w:r>
    </w:p>
    <w:p w:rsidR="008B1CF9" w:rsidRDefault="00E344DF" w:rsidP="006916CE">
      <w:pPr>
        <w:pStyle w:val="PwCNormal"/>
      </w:pPr>
      <w:r>
        <w:t>Scenario 3B considers</w:t>
      </w:r>
      <w:r w:rsidRPr="00786D9A">
        <w:t xml:space="preserve"> </w:t>
      </w:r>
      <w:r>
        <w:t xml:space="preserve">greater </w:t>
      </w:r>
      <w:r w:rsidRPr="00786D9A">
        <w:t>development within urban growth areas</w:t>
      </w:r>
      <w:r>
        <w:t xml:space="preserve">, which in this case is redistributed from urban infill LGAs. As such demand for extractives is greater than baseline in urban growth areas and lower than baseline in infill areas; the aggregate level of demand in the State is </w:t>
      </w:r>
      <w:r w:rsidR="00D54F35">
        <w:t xml:space="preserve">largely </w:t>
      </w:r>
      <w:r>
        <w:t>unchanged from the Baseline scenario.</w:t>
      </w:r>
    </w:p>
    <w:p w:rsidR="00D40A60" w:rsidRDefault="00D1700C" w:rsidP="0089081A">
      <w:pPr>
        <w:pStyle w:val="Heading6"/>
      </w:pPr>
      <w:bookmarkStart w:id="68" w:name="_Ref448322557"/>
      <w:r>
        <w:t>Supply analysis methodology and data collection</w:t>
      </w:r>
      <w:bookmarkEnd w:id="68"/>
    </w:p>
    <w:p w:rsidR="004D68C4" w:rsidRDefault="00950500" w:rsidP="006916CE">
      <w:pPr>
        <w:pStyle w:val="PwCNormal"/>
      </w:pPr>
      <w:r>
        <w:t xml:space="preserve">Active industry engagement was critical to the success of this study. As such, considerable effort was focused on providing all industry participants with the opportunity to participate in a constructive manner. </w:t>
      </w:r>
      <w:r w:rsidR="004D68C4">
        <w:t xml:space="preserve">Contact was made with all current industry participants for whom contact details were available. </w:t>
      </w:r>
    </w:p>
    <w:p w:rsidR="00950500" w:rsidRPr="00A05092" w:rsidRDefault="00950500" w:rsidP="006916CE">
      <w:pPr>
        <w:pStyle w:val="PwCNormal"/>
      </w:pPr>
      <w:r>
        <w:t xml:space="preserve">In total, </w:t>
      </w:r>
      <w:r w:rsidR="004D68C4">
        <w:t>27 interviews were conducted along with collection of 200 completed web surveys and several completed paper surveys, covering an estimated 81 per cent of Victorian operators (by production volume).</w:t>
      </w:r>
      <w:r w:rsidR="004D68C4">
        <w:rPr>
          <w:rStyle w:val="FootnoteReference"/>
        </w:rPr>
        <w:footnoteReference w:id="17"/>
      </w:r>
      <w:r w:rsidR="004D68C4">
        <w:t xml:space="preserve">  </w:t>
      </w:r>
    </w:p>
    <w:p w:rsidR="009848B5" w:rsidRPr="009848B5" w:rsidRDefault="009848B5" w:rsidP="0089081A">
      <w:pPr>
        <w:pStyle w:val="Heading7"/>
      </w:pPr>
      <w:r w:rsidRPr="009848B5">
        <w:t>Industry engagement</w:t>
      </w:r>
      <w:r w:rsidR="00446B77">
        <w:t xml:space="preserve"> – supply data collection</w:t>
      </w:r>
    </w:p>
    <w:p w:rsidR="003B361D" w:rsidRDefault="00D35E37" w:rsidP="00D35E37">
      <w:pPr>
        <w:pStyle w:val="PwCNormal"/>
      </w:pPr>
      <w:r w:rsidRPr="003B361D">
        <w:t xml:space="preserve">To understand the supply of extractive resources, </w:t>
      </w:r>
      <w:r w:rsidR="003B361D" w:rsidRPr="003B361D">
        <w:t xml:space="preserve">including </w:t>
      </w:r>
      <w:r w:rsidR="00B1095A">
        <w:t xml:space="preserve">the </w:t>
      </w:r>
      <w:r w:rsidR="003B361D" w:rsidRPr="0089081A">
        <w:t>current state of play and proposed intentions and future needs</w:t>
      </w:r>
      <w:r w:rsidR="003B361D" w:rsidRPr="003B361D">
        <w:t>,</w:t>
      </w:r>
      <w:r w:rsidR="003B361D">
        <w:t xml:space="preserve"> </w:t>
      </w:r>
      <w:r w:rsidRPr="00D35E37">
        <w:t>a three pronged approach (telephone/face to face interviews</w:t>
      </w:r>
      <w:r w:rsidR="003C3AAC">
        <w:t>, emails and posted letters</w:t>
      </w:r>
      <w:r w:rsidRPr="00D35E37">
        <w:t>) was undertaken</w:t>
      </w:r>
      <w:r w:rsidR="00EE57D1">
        <w:t xml:space="preserve"> in an attempt to </w:t>
      </w:r>
      <w:r w:rsidRPr="00D35E37">
        <w:t>provide</w:t>
      </w:r>
      <w:r w:rsidR="00EE57D1">
        <w:t xml:space="preserve"> all </w:t>
      </w:r>
      <w:r w:rsidR="004174FF" w:rsidRPr="004174FF">
        <w:t>holders of Extractives Work Authorities in Victoria</w:t>
      </w:r>
      <w:r w:rsidR="004174FF">
        <w:t xml:space="preserve"> with </w:t>
      </w:r>
      <w:r w:rsidRPr="00D35E37">
        <w:t xml:space="preserve">the </w:t>
      </w:r>
      <w:r w:rsidR="00C40B80">
        <w:t xml:space="preserve">opportunity </w:t>
      </w:r>
      <w:r w:rsidRPr="00D35E37">
        <w:t xml:space="preserve">to participate </w:t>
      </w:r>
      <w:r w:rsidR="00A05410">
        <w:t xml:space="preserve">in </w:t>
      </w:r>
      <w:r w:rsidR="009C7D8B">
        <w:t xml:space="preserve">the </w:t>
      </w:r>
      <w:r w:rsidRPr="00D35E37">
        <w:t xml:space="preserve">industry engagement questionnaire. </w:t>
      </w:r>
    </w:p>
    <w:p w:rsidR="003C3AAC" w:rsidRDefault="004D68C4" w:rsidP="00D35E37">
      <w:pPr>
        <w:pStyle w:val="PwCNormal"/>
      </w:pPr>
      <w:r>
        <w:t>A</w:t>
      </w:r>
      <w:r w:rsidRPr="00D35E37">
        <w:t xml:space="preserve">n online survey </w:t>
      </w:r>
      <w:r>
        <w:t xml:space="preserve">was </w:t>
      </w:r>
      <w:r w:rsidR="00D35E37" w:rsidRPr="00D35E37">
        <w:t xml:space="preserve">designed and launched, complemented with industry interviews and </w:t>
      </w:r>
      <w:r w:rsidR="006E244F">
        <w:t xml:space="preserve">a </w:t>
      </w:r>
      <w:r w:rsidR="00D35E37" w:rsidRPr="00D35E37">
        <w:t xml:space="preserve">desk-based review of literature. The information collected was used to </w:t>
      </w:r>
      <w:r w:rsidR="0070125F">
        <w:t xml:space="preserve">model </w:t>
      </w:r>
      <w:r w:rsidR="00D35E37" w:rsidRPr="00D35E37">
        <w:t xml:space="preserve">the </w:t>
      </w:r>
      <w:r w:rsidR="003C3AAC">
        <w:t xml:space="preserve">current and </w:t>
      </w:r>
      <w:r w:rsidR="00D35E37" w:rsidRPr="00D35E37">
        <w:t>future supply of extractive resources to 2050, including identification of areas that may be critical to future developments and infrastructure projects.</w:t>
      </w:r>
      <w:r w:rsidR="003B361D">
        <w:t xml:space="preserve"> </w:t>
      </w:r>
    </w:p>
    <w:p w:rsidR="00D35E37" w:rsidRPr="00D35E37" w:rsidRDefault="00F12609" w:rsidP="00D35E37">
      <w:pPr>
        <w:pStyle w:val="PwCNormal"/>
      </w:pPr>
      <w:r>
        <w:fldChar w:fldCharType="begin"/>
      </w:r>
      <w:r>
        <w:instrText xml:space="preserve"> REF _Ref448754603 \h </w:instrText>
      </w:r>
      <w:r>
        <w:fldChar w:fldCharType="separate"/>
      </w:r>
      <w:r w:rsidR="00E22E13">
        <w:t xml:space="preserve">Table </w:t>
      </w:r>
      <w:r w:rsidR="00E22E13">
        <w:rPr>
          <w:noProof/>
        </w:rPr>
        <w:t>1</w:t>
      </w:r>
      <w:r>
        <w:fldChar w:fldCharType="end"/>
      </w:r>
      <w:r>
        <w:t xml:space="preserve"> </w:t>
      </w:r>
      <w:r w:rsidR="003B361D">
        <w:t xml:space="preserve">illustrates the </w:t>
      </w:r>
      <w:r w:rsidR="00AA7952">
        <w:t>delivery</w:t>
      </w:r>
      <w:r w:rsidR="003B361D">
        <w:t xml:space="preserve"> methods used to conduct the survey and the number of work authorities and production values for each survey type. </w:t>
      </w:r>
    </w:p>
    <w:p w:rsidR="00F12609" w:rsidRDefault="00F12609" w:rsidP="00D7732E">
      <w:pPr>
        <w:pStyle w:val="Caption"/>
      </w:pPr>
      <w:bookmarkStart w:id="69" w:name="_Ref448754603"/>
      <w:r>
        <w:t xml:space="preserve">Table </w:t>
      </w:r>
      <w:fldSimple w:instr=" SEQ Table \* ARABIC ">
        <w:r w:rsidR="00E22E13">
          <w:rPr>
            <w:noProof/>
          </w:rPr>
          <w:t>1</w:t>
        </w:r>
      </w:fldSimple>
      <w:bookmarkEnd w:id="69"/>
      <w:r>
        <w:t xml:space="preserve">: </w:t>
      </w:r>
      <w:r w:rsidRPr="00161D31">
        <w:t>Three-pronged approach: Split of WA holders by delivery method (interviews, emails, letters) for the industry survey</w:t>
      </w:r>
    </w:p>
    <w:p w:rsidR="009848B5" w:rsidRDefault="00B1095A" w:rsidP="009848B5">
      <w:pPr>
        <w:pStyle w:val="PwCNormal"/>
        <w:rPr>
          <w:highlight w:val="yellow"/>
        </w:rPr>
      </w:pPr>
      <w:r>
        <w:rPr>
          <w:noProof/>
          <w:snapToGrid/>
          <w:lang w:eastAsia="en-AU"/>
        </w:rPr>
        <w:drawing>
          <wp:inline distT="0" distB="0" distL="0" distR="0" wp14:anchorId="0F1B04F3" wp14:editId="1A99A5B0">
            <wp:extent cx="5220335" cy="1237542"/>
            <wp:effectExtent l="0" t="0" r="0" b="1270"/>
            <wp:docPr id="1" name="Picture 1" descr="This table shows the Three-pronged approach for the industry survey.  As a proportion of production, 77% of industry was interviewed, 15% was surveyed by email and 8% corresponded through letters."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0335" cy="1237542"/>
                    </a:xfrm>
                    <a:prstGeom prst="rect">
                      <a:avLst/>
                    </a:prstGeom>
                  </pic:spPr>
                </pic:pic>
              </a:graphicData>
            </a:graphic>
          </wp:inline>
        </w:drawing>
      </w:r>
      <w:r w:rsidR="00564474">
        <w:rPr>
          <w:rStyle w:val="CommentReference"/>
        </w:rPr>
        <w:t xml:space="preserve"> </w:t>
      </w:r>
    </w:p>
    <w:p w:rsidR="009848B5" w:rsidRDefault="009848B5" w:rsidP="009848B5">
      <w:pPr>
        <w:pStyle w:val="PwCNormal"/>
        <w:rPr>
          <w:color w:val="A32020" w:themeColor="accent1"/>
          <w:sz w:val="16"/>
          <w:szCs w:val="16"/>
        </w:rPr>
      </w:pPr>
      <w:r w:rsidRPr="009848B5">
        <w:rPr>
          <w:color w:val="A32020" w:themeColor="accent1"/>
          <w:sz w:val="16"/>
          <w:szCs w:val="16"/>
        </w:rPr>
        <w:t xml:space="preserve">Source: </w:t>
      </w:r>
      <w:r w:rsidR="005C18E7">
        <w:rPr>
          <w:color w:val="A32020" w:themeColor="accent1"/>
          <w:sz w:val="16"/>
          <w:szCs w:val="16"/>
        </w:rPr>
        <w:t xml:space="preserve">DEDJTR </w:t>
      </w:r>
      <w:r w:rsidRPr="009848B5">
        <w:rPr>
          <w:color w:val="A32020" w:themeColor="accent1"/>
          <w:sz w:val="16"/>
          <w:szCs w:val="16"/>
        </w:rPr>
        <w:t>201</w:t>
      </w:r>
      <w:r w:rsidR="00B1095A">
        <w:rPr>
          <w:color w:val="A32020" w:themeColor="accent1"/>
          <w:sz w:val="16"/>
          <w:szCs w:val="16"/>
        </w:rPr>
        <w:t>4</w:t>
      </w:r>
    </w:p>
    <w:p w:rsidR="00095665" w:rsidRPr="00095665" w:rsidRDefault="00E33A58" w:rsidP="0089081A">
      <w:pPr>
        <w:pStyle w:val="Minorheading"/>
      </w:pPr>
      <w:r>
        <w:t>Data collection template</w:t>
      </w:r>
    </w:p>
    <w:p w:rsidR="00DC2F9E" w:rsidRDefault="00001986" w:rsidP="009848B5">
      <w:pPr>
        <w:pStyle w:val="PwCNormal"/>
      </w:pPr>
      <w:r>
        <w:t xml:space="preserve">An industry </w:t>
      </w:r>
      <w:r w:rsidRPr="00095665">
        <w:t>survey</w:t>
      </w:r>
      <w:r>
        <w:t xml:space="preserve"> was developed to collect information from </w:t>
      </w:r>
      <w:r w:rsidR="00AB4D80">
        <w:t xml:space="preserve">the </w:t>
      </w:r>
      <w:r>
        <w:t xml:space="preserve">extractive industry participants </w:t>
      </w:r>
      <w:r w:rsidR="00AB4D80">
        <w:t xml:space="preserve">with </w:t>
      </w:r>
      <w:r>
        <w:t xml:space="preserve">respect </w:t>
      </w:r>
      <w:r w:rsidR="00AB4D80">
        <w:t xml:space="preserve">to </w:t>
      </w:r>
      <w:r>
        <w:t>their current and expected future operations. The survey was designed and tested</w:t>
      </w:r>
      <w:r w:rsidR="00095665">
        <w:t xml:space="preserve"> in consultation with </w:t>
      </w:r>
      <w:r w:rsidR="008837A4">
        <w:t>DEDJTR</w:t>
      </w:r>
      <w:r w:rsidR="00095665">
        <w:t xml:space="preserve"> and Taskforce members</w:t>
      </w:r>
      <w:r w:rsidRPr="00001986">
        <w:t xml:space="preserve"> </w:t>
      </w:r>
      <w:r>
        <w:t>to ensure all necessary and relevant information was captured to inform this study.</w:t>
      </w:r>
    </w:p>
    <w:p w:rsidR="00153E14" w:rsidRDefault="00E33A58" w:rsidP="006916CE">
      <w:pPr>
        <w:pStyle w:val="PwCNormal"/>
      </w:pPr>
      <w:r>
        <w:t xml:space="preserve">Leveraging the questions and format contained in the survey, an interview questionnaire was also prepared for use in face-to-face and telephone interviews with </w:t>
      </w:r>
      <w:r w:rsidR="006E244F">
        <w:t xml:space="preserve">the top 30 producing </w:t>
      </w:r>
      <w:r>
        <w:t>industry participants</w:t>
      </w:r>
      <w:r w:rsidR="007000D0">
        <w:t>, as measured by volume of production</w:t>
      </w:r>
      <w:r w:rsidR="00BA1F7B">
        <w:t xml:space="preserve"> in 2013-14</w:t>
      </w:r>
      <w:r>
        <w:t xml:space="preserve">. </w:t>
      </w:r>
    </w:p>
    <w:p w:rsidR="00C40B80" w:rsidRDefault="00C40B80" w:rsidP="00E33A58">
      <w:pPr>
        <w:pStyle w:val="PwCNormal"/>
      </w:pPr>
      <w:r>
        <w:t xml:space="preserve">An overview of the survey’s content and format is provided </w:t>
      </w:r>
      <w:r w:rsidR="00653C6A">
        <w:t>in</w:t>
      </w:r>
      <w:r>
        <w:t xml:space="preserve"> </w:t>
      </w:r>
      <w:r>
        <w:fldChar w:fldCharType="begin"/>
      </w:r>
      <w:r>
        <w:instrText xml:space="preserve"> REF _Ref444517200 \h </w:instrText>
      </w:r>
      <w:r>
        <w:fldChar w:fldCharType="separate"/>
      </w:r>
      <w:r w:rsidR="00E22E13">
        <w:t xml:space="preserve">Figure </w:t>
      </w:r>
      <w:r w:rsidR="00E22E13">
        <w:rPr>
          <w:noProof/>
        </w:rPr>
        <w:t>6</w:t>
      </w:r>
      <w:r>
        <w:fldChar w:fldCharType="end"/>
      </w:r>
      <w:r>
        <w:t xml:space="preserve">. </w:t>
      </w:r>
    </w:p>
    <w:p w:rsidR="00C40B80" w:rsidRDefault="00C40B80" w:rsidP="00C40B80">
      <w:pPr>
        <w:pStyle w:val="Caption"/>
      </w:pPr>
      <w:bookmarkStart w:id="70" w:name="_Ref444517200"/>
      <w:r>
        <w:t xml:space="preserve">Figure </w:t>
      </w:r>
      <w:fldSimple w:instr=" SEQ Figure \* ARABIC ">
        <w:r w:rsidR="00E22E13">
          <w:rPr>
            <w:noProof/>
          </w:rPr>
          <w:t>6</w:t>
        </w:r>
      </w:fldSimple>
      <w:bookmarkEnd w:id="70"/>
      <w:r>
        <w:t>: Industry survey overview</w:t>
      </w:r>
    </w:p>
    <w:p w:rsidR="00C40B80" w:rsidRDefault="004137D2" w:rsidP="00E33A58">
      <w:pPr>
        <w:pStyle w:val="PwCNormal"/>
      </w:pPr>
      <w:r w:rsidRPr="004137D2">
        <w:rPr>
          <w:noProof/>
          <w:lang w:eastAsia="en-AU"/>
        </w:rPr>
        <w:drawing>
          <wp:inline distT="0" distB="0" distL="0" distR="0" wp14:anchorId="3384B39A" wp14:editId="04EADBC3">
            <wp:extent cx="3381555" cy="3864634"/>
            <wp:effectExtent l="0" t="0" r="9525" b="0"/>
            <wp:docPr id="15414" name="Picture 15414" descr="This figure shows an overview of the industry survey. The survey comprised of 5 parts: WA and contact details, current operations within the WA, future plans within the WA, future plans associated with future WA, and outlook and participation in extractive resource supply."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267" cy="3874590"/>
                    </a:xfrm>
                    <a:prstGeom prst="rect">
                      <a:avLst/>
                    </a:prstGeom>
                    <a:noFill/>
                    <a:ln>
                      <a:noFill/>
                    </a:ln>
                  </pic:spPr>
                </pic:pic>
              </a:graphicData>
            </a:graphic>
          </wp:inline>
        </w:drawing>
      </w:r>
    </w:p>
    <w:p w:rsidR="00E33A58" w:rsidRPr="00095665" w:rsidRDefault="00E33A58" w:rsidP="004E0F70">
      <w:pPr>
        <w:pStyle w:val="Minorheading"/>
      </w:pPr>
      <w:r w:rsidRPr="00095665">
        <w:t>On-line survey</w:t>
      </w:r>
      <w:r>
        <w:t xml:space="preserve"> </w:t>
      </w:r>
    </w:p>
    <w:p w:rsidR="00A25D18" w:rsidRDefault="00A25D18" w:rsidP="00953CF6">
      <w:pPr>
        <w:pStyle w:val="BodyText"/>
      </w:pPr>
      <w:r>
        <w:t>To implement the</w:t>
      </w:r>
      <w:r w:rsidR="00C40B80">
        <w:t xml:space="preserve"> industry</w:t>
      </w:r>
      <w:r>
        <w:t xml:space="preserve"> survey in an efficient and scalable setting, </w:t>
      </w:r>
      <w:r w:rsidR="004D68C4">
        <w:t xml:space="preserve">PwC </w:t>
      </w:r>
      <w:r>
        <w:t xml:space="preserve">developed the questionnaire using a proprietary and secure web-based survey tool. </w:t>
      </w:r>
      <w:r w:rsidR="008D4C70">
        <w:t xml:space="preserve">The tool </w:t>
      </w:r>
      <w:r w:rsidR="004D68C4">
        <w:t xml:space="preserve">provided for instant delivery of </w:t>
      </w:r>
      <w:r w:rsidR="008D4C70">
        <w:t xml:space="preserve">the survey to a large pool of respondents while also automating the data collection process. </w:t>
      </w:r>
    </w:p>
    <w:p w:rsidR="00001986" w:rsidRPr="00A54881" w:rsidRDefault="00E33A58" w:rsidP="00953CF6">
      <w:pPr>
        <w:pStyle w:val="BodyText"/>
      </w:pPr>
      <w:r>
        <w:t xml:space="preserve">Between </w:t>
      </w:r>
      <w:r w:rsidR="008A1C25">
        <w:t>12</w:t>
      </w:r>
      <w:r>
        <w:t xml:space="preserve"> and 19</w:t>
      </w:r>
      <w:r w:rsidR="008A1C25">
        <w:t xml:space="preserve"> August</w:t>
      </w:r>
      <w:r w:rsidR="00953CF6">
        <w:t xml:space="preserve"> 2015, email invitations to participate in the survey were sent to all 2013-14 </w:t>
      </w:r>
      <w:r w:rsidR="00064E20">
        <w:t xml:space="preserve">WA </w:t>
      </w:r>
      <w:r w:rsidR="00953CF6">
        <w:t>holders with valid email addresses and included a unique link to the survey. In total, the survey was open fo</w:t>
      </w:r>
      <w:r w:rsidR="00953CF6" w:rsidRPr="00A54881">
        <w:t xml:space="preserve">r </w:t>
      </w:r>
      <w:r w:rsidR="00445475" w:rsidRPr="00A54881">
        <w:t xml:space="preserve">10 </w:t>
      </w:r>
      <w:r w:rsidR="00953CF6" w:rsidRPr="00A54881">
        <w:t xml:space="preserve">weeks. </w:t>
      </w:r>
      <w:r w:rsidR="00445475" w:rsidRPr="00A54881">
        <w:t>Email i</w:t>
      </w:r>
      <w:r w:rsidR="00953CF6" w:rsidRPr="00A54881">
        <w:t xml:space="preserve">nvitations were sent to </w:t>
      </w:r>
      <w:r w:rsidR="00445475" w:rsidRPr="00A54881">
        <w:t>5</w:t>
      </w:r>
      <w:r w:rsidR="000639D5" w:rsidRPr="00A54881">
        <w:t xml:space="preserve">58 </w:t>
      </w:r>
      <w:r w:rsidR="00953CF6" w:rsidRPr="00A54881">
        <w:t xml:space="preserve">WA holders (representing </w:t>
      </w:r>
      <w:r w:rsidR="000639D5" w:rsidRPr="00A54881">
        <w:t xml:space="preserve">approximately 20 per cent of Victorian </w:t>
      </w:r>
      <w:r w:rsidR="00953CF6" w:rsidRPr="00A54881">
        <w:t>production</w:t>
      </w:r>
      <w:r w:rsidR="000639D5" w:rsidRPr="00A54881">
        <w:t xml:space="preserve"> in 2013-14</w:t>
      </w:r>
      <w:r w:rsidR="00953CF6" w:rsidRPr="00A54881">
        <w:t xml:space="preserve">). PwC received </w:t>
      </w:r>
      <w:r w:rsidR="000639D5" w:rsidRPr="00A54881">
        <w:t xml:space="preserve">200 </w:t>
      </w:r>
      <w:r w:rsidR="00953CF6" w:rsidRPr="00A54881">
        <w:t xml:space="preserve">individual responses </w:t>
      </w:r>
      <w:r w:rsidRPr="00A54881">
        <w:t xml:space="preserve">to the web survey </w:t>
      </w:r>
      <w:r w:rsidR="00953CF6" w:rsidRPr="00A54881">
        <w:t xml:space="preserve">from WA holders totalling </w:t>
      </w:r>
      <w:r w:rsidR="000639D5" w:rsidRPr="00A54881">
        <w:t xml:space="preserve">seven per cent </w:t>
      </w:r>
      <w:r w:rsidR="00953CF6" w:rsidRPr="00A54881">
        <w:t xml:space="preserve">of production in the </w:t>
      </w:r>
      <w:r w:rsidR="009069AC">
        <w:t>S</w:t>
      </w:r>
      <w:r w:rsidR="009069AC" w:rsidRPr="00A54881">
        <w:t xml:space="preserve">tate </w:t>
      </w:r>
      <w:r w:rsidR="00C40B80" w:rsidRPr="00A54881">
        <w:t>using 2013-14 production data</w:t>
      </w:r>
      <w:r w:rsidR="000639D5" w:rsidRPr="00A54881">
        <w:t xml:space="preserve">. </w:t>
      </w:r>
    </w:p>
    <w:p w:rsidR="00001986" w:rsidRPr="00A54881" w:rsidRDefault="00C929A7" w:rsidP="0089081A">
      <w:pPr>
        <w:pStyle w:val="Minorheading"/>
      </w:pPr>
      <w:r w:rsidRPr="00A54881">
        <w:t>Paper survey</w:t>
      </w:r>
    </w:p>
    <w:p w:rsidR="00E33A58" w:rsidRPr="00A54881" w:rsidRDefault="00E33A58" w:rsidP="00953CF6">
      <w:pPr>
        <w:pStyle w:val="BodyText"/>
      </w:pPr>
      <w:r w:rsidRPr="00A54881">
        <w:t xml:space="preserve">In addition to </w:t>
      </w:r>
      <w:r w:rsidR="00653C6A" w:rsidRPr="00A54881">
        <w:t xml:space="preserve">the </w:t>
      </w:r>
      <w:r w:rsidR="00C40B80" w:rsidRPr="00A54881">
        <w:t>web survey</w:t>
      </w:r>
      <w:r w:rsidRPr="00A54881">
        <w:t xml:space="preserve">, </w:t>
      </w:r>
      <w:r w:rsidR="00230315">
        <w:t xml:space="preserve">a paper survey was issued to potential </w:t>
      </w:r>
      <w:r w:rsidRPr="00A54881">
        <w:t xml:space="preserve">respondents whose email address details were not available. </w:t>
      </w:r>
      <w:r w:rsidR="00230315">
        <w:t xml:space="preserve">These paper surveys were issued </w:t>
      </w:r>
      <w:r w:rsidR="00001986" w:rsidRPr="00A54881">
        <w:t>by DEDJTR</w:t>
      </w:r>
      <w:r w:rsidR="00653C6A" w:rsidRPr="00A54881">
        <w:t xml:space="preserve"> and completed responses were returned </w:t>
      </w:r>
      <w:r w:rsidR="00153E14">
        <w:t xml:space="preserve">directly </w:t>
      </w:r>
      <w:r w:rsidR="00653C6A" w:rsidRPr="00A54881">
        <w:t>to PwC</w:t>
      </w:r>
      <w:r w:rsidR="00001986" w:rsidRPr="00A54881">
        <w:t>; approximately</w:t>
      </w:r>
      <w:r w:rsidR="00BB0357" w:rsidRPr="00A54881">
        <w:t xml:space="preserve"> 190 paper surveys were issued with one return survey.</w:t>
      </w:r>
    </w:p>
    <w:p w:rsidR="00E33A58" w:rsidRPr="00A54881" w:rsidRDefault="00E33A58" w:rsidP="0089081A">
      <w:pPr>
        <w:pStyle w:val="Minorheading"/>
      </w:pPr>
      <w:r w:rsidRPr="00A54881">
        <w:t>Face-to-face and telephone interviews</w:t>
      </w:r>
    </w:p>
    <w:p w:rsidR="00DB53DC" w:rsidRPr="00A54881" w:rsidRDefault="00C40B80" w:rsidP="0089081A">
      <w:pPr>
        <w:pStyle w:val="PwCNormal"/>
      </w:pPr>
      <w:r w:rsidRPr="00A54881">
        <w:t xml:space="preserve">Using historical extractives production records, the </w:t>
      </w:r>
      <w:r w:rsidR="009069AC">
        <w:t>S</w:t>
      </w:r>
      <w:r w:rsidR="009069AC" w:rsidRPr="00A54881">
        <w:t xml:space="preserve">tate’s </w:t>
      </w:r>
      <w:r w:rsidRPr="00A54881">
        <w:t>top 30 producers</w:t>
      </w:r>
      <w:r w:rsidR="00BA1F7B" w:rsidRPr="00A54881">
        <w:t>, as measured by volume of production in 2013-14,</w:t>
      </w:r>
      <w:r w:rsidRPr="00A54881">
        <w:t xml:space="preserve"> were identified and targeted for face-to-face interviews.</w:t>
      </w:r>
      <w:r w:rsidR="00DB53DC" w:rsidRPr="00A54881">
        <w:t xml:space="preserve"> </w:t>
      </w:r>
      <w:r w:rsidR="0050007E" w:rsidRPr="00A54881">
        <w:t xml:space="preserve">These interviews were undertaken by </w:t>
      </w:r>
      <w:r w:rsidR="004D68C4">
        <w:t xml:space="preserve">PwC’s </w:t>
      </w:r>
      <w:r w:rsidR="0050007E" w:rsidRPr="00A54881">
        <w:t>industry advisor, Coffey International</w:t>
      </w:r>
      <w:r w:rsidR="008D1E7C">
        <w:t xml:space="preserve"> (a Tetra Tech company)</w:t>
      </w:r>
      <w:r w:rsidR="00AA4AE0">
        <w:t xml:space="preserve"> (Coffey)</w:t>
      </w:r>
      <w:r w:rsidR="0050007E" w:rsidRPr="00A54881">
        <w:t xml:space="preserve">. </w:t>
      </w:r>
      <w:r w:rsidR="00DB53DC" w:rsidRPr="00A54881">
        <w:t xml:space="preserve">Telephone interviews were conducted </w:t>
      </w:r>
      <w:r w:rsidR="00B5186E" w:rsidRPr="00A54881">
        <w:t xml:space="preserve">in cases where </w:t>
      </w:r>
      <w:r w:rsidR="00DB53DC" w:rsidRPr="00A54881">
        <w:t xml:space="preserve">respondents </w:t>
      </w:r>
      <w:r w:rsidR="00B5186E" w:rsidRPr="00A54881">
        <w:t xml:space="preserve">were </w:t>
      </w:r>
      <w:r w:rsidR="00DB53DC" w:rsidRPr="00A54881">
        <w:t>unavailable to meet face-to-face.</w:t>
      </w:r>
    </w:p>
    <w:p w:rsidR="00953CF6" w:rsidRPr="00A54881" w:rsidRDefault="004D68C4" w:rsidP="0089081A">
      <w:pPr>
        <w:pStyle w:val="PwCNormal"/>
      </w:pPr>
      <w:r>
        <w:t>T</w:t>
      </w:r>
      <w:r w:rsidR="00DB53DC" w:rsidRPr="00A54881">
        <w:t xml:space="preserve">he top 30 producers represent close to 80 per cent of Victorian extractives production </w:t>
      </w:r>
      <w:r w:rsidR="00955A6C" w:rsidRPr="00A54881">
        <w:t xml:space="preserve">volumes </w:t>
      </w:r>
      <w:r w:rsidR="00DB53DC" w:rsidRPr="00A54881">
        <w:t>in 2013-14</w:t>
      </w:r>
      <w:r>
        <w:t>. Hence, resources were focused on understanding the current operations and future plans of these producers.</w:t>
      </w:r>
      <w:r w:rsidR="00DB53DC" w:rsidRPr="00A54881">
        <w:t xml:space="preserve">  </w:t>
      </w:r>
    </w:p>
    <w:p w:rsidR="001E6C5C" w:rsidRDefault="001E6C5C" w:rsidP="001E6C5C">
      <w:pPr>
        <w:pStyle w:val="PwCNormal"/>
      </w:pPr>
      <w:r w:rsidRPr="00A54881">
        <w:t xml:space="preserve">Industry interviews commenced in August 2015 and were completed by October 2015. 27 respondents provided information to support the study through this process, representing approximately 74 per cent of the </w:t>
      </w:r>
      <w:r>
        <w:t>S</w:t>
      </w:r>
      <w:r w:rsidRPr="00A54881">
        <w:t>tate’s production in 2013-14.</w:t>
      </w:r>
      <w:r>
        <w:t xml:space="preserve"> </w:t>
      </w:r>
    </w:p>
    <w:p w:rsidR="00BB0357" w:rsidRDefault="004D68C4" w:rsidP="0089081A">
      <w:pPr>
        <w:pStyle w:val="PwCNormal"/>
      </w:pPr>
      <w:r>
        <w:t xml:space="preserve">Across the responses from the survey and interviews, </w:t>
      </w:r>
      <w:r w:rsidR="001E6C5C">
        <w:t xml:space="preserve">81% of the State’s production volumes </w:t>
      </w:r>
      <w:r w:rsidR="00A84FDF">
        <w:t>were covered</w:t>
      </w:r>
      <w:r w:rsidR="001E6C5C">
        <w:t xml:space="preserve">. </w:t>
      </w:r>
    </w:p>
    <w:p w:rsidR="00953CF6" w:rsidRDefault="00E021B0" w:rsidP="0089081A">
      <w:pPr>
        <w:pStyle w:val="Heading7"/>
      </w:pPr>
      <w:r>
        <w:t>Survey r</w:t>
      </w:r>
      <w:r w:rsidR="004F7435">
        <w:t>espondent c</w:t>
      </w:r>
      <w:r w:rsidR="008067D0">
        <w:t>onfidentialit</w:t>
      </w:r>
      <w:r w:rsidR="004F7435">
        <w:t>y</w:t>
      </w:r>
    </w:p>
    <w:p w:rsidR="00953CF6" w:rsidRDefault="00E021B0" w:rsidP="0089081A">
      <w:pPr>
        <w:pStyle w:val="PwCNormal"/>
        <w:numPr>
          <w:ilvl w:val="0"/>
          <w:numId w:val="9"/>
        </w:numPr>
      </w:pPr>
      <w:r>
        <w:t xml:space="preserve">The supply survey was designed to gather information from </w:t>
      </w:r>
      <w:r w:rsidR="007B2812">
        <w:t>the extractive resource industry on the</w:t>
      </w:r>
      <w:r>
        <w:t xml:space="preserve"> current and planned future operations</w:t>
      </w:r>
      <w:r w:rsidR="007B2812">
        <w:t xml:space="preserve"> of quarries across Victoria</w:t>
      </w:r>
      <w:r>
        <w:t>. As this information was considered commercially sensitive, structures were established across the breadth of the study to secure respondents’ confidential information and prevent commercial-in-confidence data</w:t>
      </w:r>
      <w:r w:rsidR="007B2812">
        <w:t xml:space="preserve"> from</w:t>
      </w:r>
      <w:r>
        <w:t xml:space="preserve"> </w:t>
      </w:r>
      <w:r w:rsidR="0094242B">
        <w:t xml:space="preserve">being revealed through the study’s reporting. </w:t>
      </w:r>
    </w:p>
    <w:p w:rsidR="0094242B" w:rsidRDefault="0094242B" w:rsidP="0089081A">
      <w:pPr>
        <w:pStyle w:val="PwCNormal"/>
        <w:numPr>
          <w:ilvl w:val="0"/>
          <w:numId w:val="9"/>
        </w:numPr>
      </w:pPr>
      <w:r>
        <w:t xml:space="preserve">To this end, agreements were put in place between </w:t>
      </w:r>
      <w:r w:rsidR="008837A4">
        <w:t>DEDJTR</w:t>
      </w:r>
      <w:r>
        <w:t xml:space="preserve"> and the </w:t>
      </w:r>
      <w:r w:rsidR="005C18E7">
        <w:t xml:space="preserve">service providers </w:t>
      </w:r>
      <w:r w:rsidR="007B2812">
        <w:t>of the supply and demand studies</w:t>
      </w:r>
      <w:r>
        <w:t xml:space="preserve">, </w:t>
      </w:r>
      <w:r w:rsidR="007B2812">
        <w:t xml:space="preserve">which included </w:t>
      </w:r>
      <w:r w:rsidRPr="0050007E">
        <w:t xml:space="preserve">PwC </w:t>
      </w:r>
      <w:r w:rsidR="0050007E" w:rsidRPr="0050007E">
        <w:t>and our industry advisor,</w:t>
      </w:r>
      <w:r w:rsidR="007B2812" w:rsidRPr="0050007E">
        <w:t xml:space="preserve"> Coffey</w:t>
      </w:r>
      <w:r w:rsidR="008D1E7C" w:rsidRPr="00A54881">
        <w:t>.</w:t>
      </w:r>
      <w:r>
        <w:t xml:space="preserve"> These agreements provided for the protection of industry participants’ information, including data provided throu</w:t>
      </w:r>
      <w:r w:rsidR="007B2812">
        <w:t>gh the survey with</w:t>
      </w:r>
      <w:r>
        <w:t xml:space="preserve"> respect </w:t>
      </w:r>
      <w:r w:rsidR="007B2812">
        <w:t>to</w:t>
      </w:r>
      <w:r>
        <w:t xml:space="preserve"> future commercial activities. In addition</w:t>
      </w:r>
      <w:r w:rsidR="007B2812">
        <w:t>,</w:t>
      </w:r>
      <w:r>
        <w:t xml:space="preserve"> the agreements bound </w:t>
      </w:r>
      <w:r w:rsidR="00A84FDF">
        <w:t xml:space="preserve">PwC and its advisors </w:t>
      </w:r>
      <w:r>
        <w:t xml:space="preserve">to </w:t>
      </w:r>
      <w:r w:rsidR="00A84FDF">
        <w:t xml:space="preserve">protecting </w:t>
      </w:r>
      <w:r>
        <w:t xml:space="preserve">the confidentiality of industry respondents through reporting on the study’s findings. </w:t>
      </w:r>
    </w:p>
    <w:p w:rsidR="00FC77B9" w:rsidRDefault="00285CA6" w:rsidP="00285CA6">
      <w:pPr>
        <w:pStyle w:val="PwCNormal"/>
        <w:numPr>
          <w:ilvl w:val="0"/>
          <w:numId w:val="9"/>
        </w:numPr>
      </w:pPr>
      <w:r w:rsidRPr="00285CA6">
        <w:t xml:space="preserve">Additionally, </w:t>
      </w:r>
      <w:r w:rsidR="004638AE">
        <w:t>PwC has</w:t>
      </w:r>
      <w:r w:rsidRPr="00285CA6">
        <w:t xml:space="preserve"> developed a process to manage confidentiality and commercially sensitive information collected during this phase of </w:t>
      </w:r>
      <w:r w:rsidR="00A84FDF">
        <w:t xml:space="preserve">the </w:t>
      </w:r>
      <w:r w:rsidRPr="00285CA6">
        <w:t>study.</w:t>
      </w:r>
      <w:r w:rsidRPr="00FC77B9">
        <w:rPr>
          <w:highlight w:val="yellow"/>
        </w:rPr>
        <w:t xml:space="preserve"> </w:t>
      </w:r>
    </w:p>
    <w:p w:rsidR="00285CA6" w:rsidRDefault="00285CA6" w:rsidP="00285CA6">
      <w:pPr>
        <w:pStyle w:val="PwCNormal"/>
        <w:numPr>
          <w:ilvl w:val="0"/>
          <w:numId w:val="9"/>
        </w:numPr>
      </w:pPr>
      <w:r>
        <w:t xml:space="preserve">The aim of </w:t>
      </w:r>
      <w:r w:rsidR="00FC77B9">
        <w:t xml:space="preserve">the confidentiality </w:t>
      </w:r>
      <w:r w:rsidR="00A84FDF">
        <w:t xml:space="preserve">process </w:t>
      </w:r>
      <w:r w:rsidR="00FC77B9">
        <w:t xml:space="preserve">was to draw </w:t>
      </w:r>
      <w:r>
        <w:t xml:space="preserve">together all </w:t>
      </w:r>
      <w:r w:rsidR="00A84FDF">
        <w:t xml:space="preserve">the information gathered by </w:t>
      </w:r>
      <w:r>
        <w:t>PwC</w:t>
      </w:r>
      <w:r w:rsidR="00FC77B9">
        <w:t xml:space="preserve"> and </w:t>
      </w:r>
      <w:r>
        <w:t xml:space="preserve">Coffey, </w:t>
      </w:r>
      <w:r w:rsidR="00A84FDF">
        <w:t xml:space="preserve">along </w:t>
      </w:r>
      <w:r>
        <w:t>with Government and industry knowledge and perspectives</w:t>
      </w:r>
      <w:r w:rsidR="00A84FDF">
        <w:t>,</w:t>
      </w:r>
      <w:r>
        <w:t xml:space="preserve"> to </w:t>
      </w:r>
      <w:r w:rsidR="00A84FDF">
        <w:t xml:space="preserve">maintain respondent </w:t>
      </w:r>
      <w:r>
        <w:t>confidentiali</w:t>
      </w:r>
      <w:r w:rsidR="00704E02">
        <w:t xml:space="preserve">ty </w:t>
      </w:r>
      <w:r w:rsidR="00A84FDF">
        <w:t xml:space="preserve">and support </w:t>
      </w:r>
      <w:r w:rsidR="00704E02">
        <w:t xml:space="preserve">stakeholder and </w:t>
      </w:r>
      <w:r>
        <w:t>industry confidence in the project</w:t>
      </w:r>
      <w:r w:rsidR="00A84FDF">
        <w:t>.</w:t>
      </w:r>
    </w:p>
    <w:p w:rsidR="001E6C5C" w:rsidRDefault="001E6C5C" w:rsidP="001E6C5C">
      <w:pPr>
        <w:pStyle w:val="PwCNormal"/>
        <w:numPr>
          <w:ilvl w:val="0"/>
          <w:numId w:val="9"/>
        </w:numPr>
      </w:pPr>
      <w:r>
        <w:t>This was a gated process</w:t>
      </w:r>
      <w:r w:rsidR="00A84FDF">
        <w:t xml:space="preserve"> which began with PwC aggregating and checking data. This </w:t>
      </w:r>
      <w:r>
        <w:t>was then supplemented by the Department and the Taskforce’s views based on internal expertise within the regulation and reporting on industry outcomes and future policy considerations. This included their understanding of key industry players, industry trends and commercial sensitivities, on which it may otherwise be difficult to gain insights.</w:t>
      </w:r>
    </w:p>
    <w:p w:rsidR="00285CA6" w:rsidRDefault="00704E02" w:rsidP="00704E02">
      <w:pPr>
        <w:pStyle w:val="PwCNormal"/>
        <w:numPr>
          <w:ilvl w:val="0"/>
          <w:numId w:val="9"/>
        </w:numPr>
      </w:pPr>
      <w:r>
        <w:t xml:space="preserve">The confidentiality framework has been provided in Appendix </w:t>
      </w:r>
      <w:r w:rsidR="00876095">
        <w:t>B</w:t>
      </w:r>
      <w:r>
        <w:t xml:space="preserve"> for reference.</w:t>
      </w:r>
    </w:p>
    <w:p w:rsidR="00D35E37" w:rsidRDefault="0094242B" w:rsidP="0089081A">
      <w:pPr>
        <w:pStyle w:val="Heading7"/>
      </w:pPr>
      <w:r>
        <w:t>Additional stakeholder consultations</w:t>
      </w:r>
    </w:p>
    <w:p w:rsidR="00D35E37" w:rsidRDefault="0094242B" w:rsidP="00B21C81">
      <w:pPr>
        <w:pStyle w:val="PwCNormal"/>
      </w:pPr>
      <w:r>
        <w:t xml:space="preserve">To support development of the study, additional consultations were undertaken with industry participants at different stages of the supply chain. </w:t>
      </w:r>
      <w:r w:rsidR="00DE064D">
        <w:t xml:space="preserve">Consultations were conducted with the following </w:t>
      </w:r>
      <w:r w:rsidR="00AA4AE0">
        <w:t>sectors</w:t>
      </w:r>
      <w:r w:rsidR="00DE064D">
        <w:t>:</w:t>
      </w:r>
    </w:p>
    <w:p w:rsidR="00DE064D" w:rsidRDefault="00AA4AE0" w:rsidP="0089081A">
      <w:pPr>
        <w:pStyle w:val="ListBullet"/>
      </w:pPr>
      <w:r>
        <w:t>residential, commercial and industrial construction</w:t>
      </w:r>
    </w:p>
    <w:p w:rsidR="00924862" w:rsidRDefault="00AA4AE0" w:rsidP="0089081A">
      <w:pPr>
        <w:pStyle w:val="ListBullet"/>
      </w:pPr>
      <w:r>
        <w:t>quantity surveying</w:t>
      </w:r>
    </w:p>
    <w:p w:rsidR="00DE064D" w:rsidRDefault="000C1913" w:rsidP="0089081A">
      <w:pPr>
        <w:pStyle w:val="ListBullet"/>
      </w:pPr>
      <w:r>
        <w:t>VicRoads</w:t>
      </w:r>
      <w:r w:rsidR="00AA4AE0">
        <w:t>.</w:t>
      </w:r>
    </w:p>
    <w:p w:rsidR="0094242B" w:rsidRDefault="00DE064D" w:rsidP="00B21C81">
      <w:pPr>
        <w:pStyle w:val="PwCNormal"/>
      </w:pPr>
      <w:r>
        <w:t xml:space="preserve">These interviews provided for collection of data in relation to the end uses of extractive resources across different construction modes, along with information on typical resource costs and transport arrangements. </w:t>
      </w:r>
    </w:p>
    <w:p w:rsidR="001120D2" w:rsidRDefault="00DE064D">
      <w:pPr>
        <w:pStyle w:val="PwCNormal"/>
      </w:pPr>
      <w:r w:rsidRPr="001644FB">
        <w:t xml:space="preserve">The data collected through these consultations were used to inform several assumptions applied in the economic modelling </w:t>
      </w:r>
      <w:r w:rsidR="005020C8" w:rsidRPr="001644FB">
        <w:t xml:space="preserve">component of the study, which are outlined in Appendix </w:t>
      </w:r>
      <w:r w:rsidR="00B85C6D" w:rsidRPr="001644FB">
        <w:t>D</w:t>
      </w:r>
      <w:r w:rsidR="005020C8" w:rsidRPr="001644FB">
        <w:t xml:space="preserve"> of the report</w:t>
      </w:r>
      <w:r w:rsidR="005020C8">
        <w:t>.</w:t>
      </w:r>
    </w:p>
    <w:p w:rsidR="000970D2" w:rsidRDefault="000970D2" w:rsidP="0089081A">
      <w:pPr>
        <w:pStyle w:val="Heading7"/>
      </w:pPr>
      <w:r>
        <w:t>Integration of supply and demand</w:t>
      </w:r>
    </w:p>
    <w:p w:rsidR="000970D2" w:rsidRDefault="000970D2">
      <w:pPr>
        <w:pStyle w:val="PwCNormal"/>
      </w:pPr>
      <w:r>
        <w:t>The separate demand and supply components of the study were integrated within a supply-demand model</w:t>
      </w:r>
      <w:r w:rsidR="00A05092">
        <w:t xml:space="preserve">. This was used to produce </w:t>
      </w:r>
      <w:r>
        <w:t xml:space="preserve">outputs of individual </w:t>
      </w:r>
      <w:r w:rsidR="00773598">
        <w:t>WA</w:t>
      </w:r>
      <w:r w:rsidR="00270900">
        <w:t xml:space="preserve"> </w:t>
      </w:r>
      <w:r>
        <w:t xml:space="preserve">production levels, depletion rates, </w:t>
      </w:r>
      <w:r w:rsidR="007972FB">
        <w:t xml:space="preserve">demand locations </w:t>
      </w:r>
      <w:r>
        <w:t>and associated transport routes and costs.</w:t>
      </w:r>
    </w:p>
    <w:p w:rsidR="000E79F2" w:rsidRDefault="000E79F2" w:rsidP="0089081A">
      <w:pPr>
        <w:pStyle w:val="Minorheading3"/>
      </w:pPr>
      <w:r>
        <w:t>Matching of WAs to localities</w:t>
      </w:r>
    </w:p>
    <w:p w:rsidR="00E67ED8" w:rsidRDefault="00E67ED8">
      <w:pPr>
        <w:pStyle w:val="PwCNormal"/>
      </w:pPr>
      <w:r>
        <w:t xml:space="preserve">Within the integrated analysis each WA (including both current and planned future WAs) is matched to appropriate demand sites (localities) based on a weighted combination of population and distance. </w:t>
      </w:r>
      <w:r w:rsidR="007F385B">
        <w:t xml:space="preserve">This approach was employed to appropriately reflect the following market </w:t>
      </w:r>
      <w:r w:rsidR="00A05092">
        <w:t>drivers reported by stakeholders</w:t>
      </w:r>
      <w:r w:rsidR="007F385B">
        <w:t>:</w:t>
      </w:r>
    </w:p>
    <w:p w:rsidR="007F385B" w:rsidRDefault="00A05092" w:rsidP="0089081A">
      <w:pPr>
        <w:pStyle w:val="PwCNormal"/>
        <w:numPr>
          <w:ilvl w:val="0"/>
          <w:numId w:val="38"/>
        </w:numPr>
      </w:pPr>
      <w:r>
        <w:t>b</w:t>
      </w:r>
      <w:r w:rsidR="00A31611">
        <w:t xml:space="preserve">uyers of extractive resources </w:t>
      </w:r>
      <w:r w:rsidR="000566F1">
        <w:t>will buy from more proximal quarries in an effort to minimise the costs of delivered material</w:t>
      </w:r>
    </w:p>
    <w:p w:rsidR="000566F1" w:rsidRDefault="00AA4AE0" w:rsidP="0089081A">
      <w:pPr>
        <w:pStyle w:val="PwCNormal"/>
        <w:numPr>
          <w:ilvl w:val="0"/>
          <w:numId w:val="38"/>
        </w:numPr>
      </w:pPr>
      <w:r>
        <w:t xml:space="preserve">suppliers </w:t>
      </w:r>
      <w:r w:rsidR="000566F1">
        <w:t>of extractive resources prefer to serve fewer large markets rather than more numerous small markets to minimise their transaction costs.</w:t>
      </w:r>
    </w:p>
    <w:p w:rsidR="00EE390A" w:rsidRDefault="003C0C3C">
      <w:pPr>
        <w:pStyle w:val="PwCNormal"/>
      </w:pPr>
      <w:r>
        <w:t xml:space="preserve">This approach </w:t>
      </w:r>
      <w:r w:rsidR="005633DD">
        <w:t xml:space="preserve">delivers an optimised supply-demand matching based on cost-efficient resource delivery. </w:t>
      </w:r>
    </w:p>
    <w:p w:rsidR="00EE390A" w:rsidRDefault="005633DD">
      <w:pPr>
        <w:pStyle w:val="PwCNormal"/>
      </w:pPr>
      <w:r>
        <w:t xml:space="preserve">Demand sites are served by the closest quarries across the road network, meaning transport distances and the costs of delivered resource are minimised for buyers. </w:t>
      </w:r>
      <w:r w:rsidR="00EE390A">
        <w:t>Additionally, this approach captures locational differences in the Victorian road network and the effects of key transport corridors. Quarries located in proximity to key roads will be favoured by resource buyers over those that are harder to access, meaning resource locations that are well serviced by roads are recognised as key areas of supply.</w:t>
      </w:r>
    </w:p>
    <w:p w:rsidR="000970D2" w:rsidRDefault="005633DD">
      <w:pPr>
        <w:pStyle w:val="PwCNormal"/>
      </w:pPr>
      <w:r>
        <w:t xml:space="preserve">At the same time, quarry operators situated closest to the sites of strong future demand will deliver more resources than those quarries that are more distant from these markets. This means that the best-situated resources are exhausted first, which </w:t>
      </w:r>
      <w:r w:rsidR="000E79F2">
        <w:t xml:space="preserve">minimises the costs faced </w:t>
      </w:r>
      <w:r w:rsidR="001E6C5C">
        <w:t>across</w:t>
      </w:r>
      <w:r w:rsidR="000E79F2">
        <w:t xml:space="preserve"> the State collectively in meeting extractive resource needs.</w:t>
      </w:r>
    </w:p>
    <w:p w:rsidR="000E79F2" w:rsidRDefault="000E79F2" w:rsidP="0089081A">
      <w:pPr>
        <w:pStyle w:val="Minorheading3"/>
      </w:pPr>
      <w:r>
        <w:t>Demand-driven supply</w:t>
      </w:r>
    </w:p>
    <w:p w:rsidR="00B36C87" w:rsidRDefault="000E79F2">
      <w:pPr>
        <w:pStyle w:val="PwCNormal"/>
      </w:pPr>
      <w:r>
        <w:t>Within the integrated supply-demand model, WA operators</w:t>
      </w:r>
      <w:r w:rsidR="001F2B74">
        <w:t>’</w:t>
      </w:r>
      <w:r>
        <w:t xml:space="preserve"> production levels within a given year </w:t>
      </w:r>
      <w:r w:rsidR="001F2B74">
        <w:t xml:space="preserve">are </w:t>
      </w:r>
      <w:r>
        <w:t xml:space="preserve">based on a combination of </w:t>
      </w:r>
      <w:r w:rsidR="00B36C87">
        <w:t>two components:</w:t>
      </w:r>
    </w:p>
    <w:p w:rsidR="00B36C87" w:rsidRDefault="000E79F2" w:rsidP="006916CE">
      <w:pPr>
        <w:pStyle w:val="ListBullet"/>
      </w:pPr>
      <w:r>
        <w:t>their historical production rates</w:t>
      </w:r>
      <w:r w:rsidR="00B36C87">
        <w:t xml:space="preserve">, which are assumed to broadly reflect their productive capacity </w:t>
      </w:r>
    </w:p>
    <w:p w:rsidR="000E79F2" w:rsidRDefault="00B36C87" w:rsidP="006916CE">
      <w:pPr>
        <w:pStyle w:val="ListBullet"/>
      </w:pPr>
      <w:r>
        <w:t>the level of demand they face for a given period.</w:t>
      </w:r>
    </w:p>
    <w:p w:rsidR="00402EEC" w:rsidRDefault="000E79F2">
      <w:pPr>
        <w:pStyle w:val="PwCNormal"/>
      </w:pPr>
      <w:r>
        <w:t xml:space="preserve">Application of this approach results in demand-driven supply outcomes. These outcomes are optimal in the sense that no excess </w:t>
      </w:r>
      <w:r w:rsidR="001F2B74">
        <w:t>supply of resources arises,</w:t>
      </w:r>
      <w:r>
        <w:t xml:space="preserve"> and hence</w:t>
      </w:r>
      <w:r w:rsidR="001F2B74">
        <w:t>,</w:t>
      </w:r>
      <w:r>
        <w:t xml:space="preserve"> WA operators </w:t>
      </w:r>
      <w:r w:rsidR="001F2B74">
        <w:t xml:space="preserve">do </w:t>
      </w:r>
      <w:r w:rsidR="00B36C87">
        <w:t>n</w:t>
      </w:r>
      <w:r w:rsidR="001F2B74">
        <w:t xml:space="preserve">ot remove resources from the land that </w:t>
      </w:r>
      <w:r>
        <w:t>may not be sold in the market.</w:t>
      </w:r>
    </w:p>
    <w:p w:rsidR="007F0879" w:rsidRDefault="007F0879" w:rsidP="007F0879">
      <w:pPr>
        <w:pStyle w:val="PwCNormal"/>
      </w:pPr>
      <w:r>
        <w:t xml:space="preserve">The supply data and projections presented in this report over two time periods, 2015 to 2025 and 2026 to 2050, have been collected through industry consultations. As such, these are based on the industry’s view and plans </w:t>
      </w:r>
      <w:r w:rsidR="00B03DFE">
        <w:t>at</w:t>
      </w:r>
      <w:r>
        <w:t xml:space="preserve"> a point in time. Notably, industry respondents indicated they were less confident in the response provided for the latter time period, 2026 to 2050, relative to the first time period. Findings in this report were informed by significant industry data gathering, which comprised 81 per cent of Victorian industry as measured by the level of 2014 extractives production in the Victoria. </w:t>
      </w:r>
    </w:p>
    <w:p w:rsidR="007F0879" w:rsidRDefault="007F0879" w:rsidP="007F0879">
      <w:pPr>
        <w:pStyle w:val="PwCNormal"/>
      </w:pPr>
      <w:r>
        <w:t xml:space="preserve">The analysis has identified a set of critical resource locations within the State, based on application of several criteria and the result of the industry data gathering. These resource locations are expected to inform a broader understanding of those regions that could be important to the State’s future development. A detailed analysis of the geological endowment of Victoria was not explicitly considered in the analysis. Rather, the analysis relied upon data provided through industry consultations </w:t>
      </w:r>
      <w:r w:rsidR="00AA4AE0">
        <w:t xml:space="preserve">which </w:t>
      </w:r>
      <w:r w:rsidR="00AA4AE0" w:rsidRPr="00AA4AE0">
        <w:t>to some extent implicitly accounts for geological endowments across parts of the State</w:t>
      </w:r>
      <w:r>
        <w:t>.</w:t>
      </w:r>
    </w:p>
    <w:p w:rsidR="007331EA" w:rsidRDefault="007331EA" w:rsidP="006916CE">
      <w:pPr>
        <w:pStyle w:val="PwCNormal"/>
      </w:pPr>
    </w:p>
    <w:p w:rsidR="007331EA" w:rsidRDefault="007331EA" w:rsidP="007331EA">
      <w:pPr>
        <w:pStyle w:val="PwCNormal"/>
      </w:pPr>
    </w:p>
    <w:p w:rsidR="007331EA" w:rsidRDefault="007331EA" w:rsidP="007331EA">
      <w:pPr>
        <w:pStyle w:val="PwCNormal"/>
        <w:sectPr w:rsidR="007331EA" w:rsidSect="001A7D05">
          <w:pgSz w:w="11907" w:h="16840" w:code="9"/>
          <w:pgMar w:top="1588" w:right="1843" w:bottom="1418" w:left="1843" w:header="567" w:footer="567" w:gutter="0"/>
          <w:cols w:space="227"/>
          <w:docGrid w:linePitch="360"/>
        </w:sectPr>
      </w:pPr>
    </w:p>
    <w:p w:rsidR="007331EA" w:rsidRDefault="007331EA" w:rsidP="006916CE">
      <w:pPr>
        <w:pStyle w:val="Heading2"/>
      </w:pPr>
      <w:bookmarkStart w:id="71" w:name="_Toc448917114"/>
      <w:bookmarkStart w:id="72" w:name="_Toc448924821"/>
      <w:bookmarkStart w:id="73" w:name="_Toc448925126"/>
      <w:bookmarkStart w:id="74" w:name="_Toc448935465"/>
      <w:bookmarkStart w:id="75" w:name="_Toc448936084"/>
      <w:bookmarkStart w:id="76" w:name="_Toc449603853"/>
      <w:bookmarkStart w:id="77" w:name="_Toc449603919"/>
      <w:bookmarkStart w:id="78" w:name="_Toc449949928"/>
      <w:bookmarkStart w:id="79" w:name="_Toc449960253"/>
      <w:bookmarkStart w:id="80" w:name="_Toc451239532"/>
      <w:r>
        <w:t>Extractive resources demand - Key findings</w:t>
      </w:r>
      <w:bookmarkEnd w:id="71"/>
      <w:bookmarkEnd w:id="72"/>
      <w:bookmarkEnd w:id="73"/>
      <w:bookmarkEnd w:id="74"/>
      <w:bookmarkEnd w:id="75"/>
      <w:bookmarkEnd w:id="76"/>
      <w:bookmarkEnd w:id="77"/>
      <w:bookmarkEnd w:id="78"/>
      <w:bookmarkEnd w:id="79"/>
      <w:bookmarkEnd w:id="80"/>
    </w:p>
    <w:p w:rsidR="00B21C81" w:rsidRDefault="00B21C81" w:rsidP="00B21C81">
      <w:pPr>
        <w:pStyle w:val="Heading6"/>
      </w:pPr>
      <w:bookmarkStart w:id="81" w:name="_Toc447633181"/>
      <w:bookmarkStart w:id="82" w:name="_Toc447638420"/>
      <w:bookmarkStart w:id="83" w:name="_Toc447638646"/>
      <w:bookmarkStart w:id="84" w:name="_Toc447638701"/>
      <w:bookmarkStart w:id="85" w:name="_Toc447713603"/>
      <w:bookmarkStart w:id="86" w:name="_Toc447714273"/>
      <w:bookmarkStart w:id="87" w:name="_Toc447726558"/>
      <w:bookmarkStart w:id="88" w:name="_Toc447878950"/>
      <w:bookmarkStart w:id="89" w:name="_Toc448143398"/>
      <w:bookmarkStart w:id="90" w:name="_Toc448153178"/>
      <w:bookmarkStart w:id="91" w:name="_Toc448220313"/>
      <w:bookmarkStart w:id="92" w:name="_Toc448220930"/>
      <w:bookmarkEnd w:id="81"/>
      <w:bookmarkEnd w:id="82"/>
      <w:bookmarkEnd w:id="83"/>
      <w:bookmarkEnd w:id="84"/>
      <w:bookmarkEnd w:id="85"/>
      <w:bookmarkEnd w:id="86"/>
      <w:bookmarkEnd w:id="87"/>
      <w:bookmarkEnd w:id="88"/>
      <w:bookmarkEnd w:id="89"/>
      <w:bookmarkEnd w:id="90"/>
      <w:bookmarkEnd w:id="91"/>
      <w:bookmarkEnd w:id="92"/>
      <w:r>
        <w:t>Summary of demand analysis results</w:t>
      </w:r>
    </w:p>
    <w:p w:rsidR="00BF0B9E" w:rsidRDefault="00BF0B9E" w:rsidP="006916CE">
      <w:pPr>
        <w:pStyle w:val="PwCNormal"/>
      </w:pPr>
      <w:r>
        <w:t xml:space="preserve">The results of the demand analysis are presented in the sections to follow. A brief description of each of the demand scenarios is provided below; more detailed information on the demand scenarios can be found in Section </w:t>
      </w:r>
      <w:r>
        <w:fldChar w:fldCharType="begin"/>
      </w:r>
      <w:r>
        <w:instrText xml:space="preserve"> REF _Ref448245337 \n \h </w:instrText>
      </w:r>
      <w:r>
        <w:fldChar w:fldCharType="separate"/>
      </w:r>
      <w:r w:rsidR="00E22E13">
        <w:t>2.2.5</w:t>
      </w:r>
      <w:r>
        <w:fldChar w:fldCharType="end"/>
      </w:r>
      <w:r>
        <w:t xml:space="preserve">. </w:t>
      </w:r>
    </w:p>
    <w:p w:rsidR="00BF0B9E" w:rsidRDefault="00BF0B9E" w:rsidP="006916CE">
      <w:pPr>
        <w:pStyle w:val="ListBullet"/>
      </w:pPr>
      <w:r>
        <w:t>Scenario 1A: Population and employment growth ahead of government projections in Victoria – (20% increase)</w:t>
      </w:r>
    </w:p>
    <w:p w:rsidR="00BF0B9E" w:rsidRDefault="00BF0B9E" w:rsidP="006916CE">
      <w:pPr>
        <w:pStyle w:val="ListBullet"/>
      </w:pPr>
      <w:r>
        <w:t>Scenario 2A: Population and employment growth behind government projections in Victoria – (20% decrease)</w:t>
      </w:r>
    </w:p>
    <w:p w:rsidR="00BF0B9E" w:rsidRDefault="00BF0B9E" w:rsidP="006916CE">
      <w:pPr>
        <w:pStyle w:val="ListBullet"/>
      </w:pPr>
      <w:r>
        <w:t>Scenario 3A: Redistribution of the growth in Metropolitan Melbourne toward Urban infill LGAs</w:t>
      </w:r>
    </w:p>
    <w:p w:rsidR="00BF0B9E" w:rsidRDefault="00BF0B9E" w:rsidP="00BF0B9E">
      <w:pPr>
        <w:pStyle w:val="ListBullet"/>
      </w:pPr>
      <w:r>
        <w:t>Scenario 3B: Redistribution of the growth in Metropolitan Melbourne toward Urban Growth Area LGAs</w:t>
      </w:r>
    </w:p>
    <w:p w:rsidR="00B21C81" w:rsidRDefault="004B08E8" w:rsidP="00B21C81">
      <w:pPr>
        <w:pStyle w:val="Heading7"/>
      </w:pPr>
      <w:r>
        <w:t>Baseline</w:t>
      </w:r>
      <w:r w:rsidR="00B21C81">
        <w:t xml:space="preserve"> </w:t>
      </w:r>
      <w:r w:rsidR="00BA291D">
        <w:t xml:space="preserve">demand </w:t>
      </w:r>
      <w:r w:rsidR="00B21C81">
        <w:t>scenario</w:t>
      </w:r>
    </w:p>
    <w:p w:rsidR="0026440F" w:rsidRDefault="0026440F" w:rsidP="0089081A">
      <w:pPr>
        <w:pStyle w:val="PwCNormal"/>
      </w:pPr>
      <w:r>
        <w:t xml:space="preserve">Demand for extractive resources in Victoria is expected </w:t>
      </w:r>
      <w:r w:rsidR="00E37BF9">
        <w:t>to almost double</w:t>
      </w:r>
      <w:r>
        <w:t xml:space="preserve"> across the forecast period. Beginning at </w:t>
      </w:r>
      <w:r w:rsidR="000F032E">
        <w:t>46.4 </w:t>
      </w:r>
      <w:r>
        <w:t>million tonnes in 2015, total demand for extractives is forecast to</w:t>
      </w:r>
      <w:r w:rsidR="00826260">
        <w:t xml:space="preserve"> increase to </w:t>
      </w:r>
      <w:r w:rsidR="000F032E">
        <w:t>55.8</w:t>
      </w:r>
      <w:r w:rsidR="00826260">
        <w:t xml:space="preserve"> million tonnes by 2026. By 2050 total demand is to reach </w:t>
      </w:r>
      <w:r w:rsidR="000F032E">
        <w:t>87.8 </w:t>
      </w:r>
      <w:r>
        <w:t>million tonnes</w:t>
      </w:r>
      <w:r w:rsidR="00826260">
        <w:t xml:space="preserve"> under the </w:t>
      </w:r>
      <w:r w:rsidR="004B08E8">
        <w:t>baseline</w:t>
      </w:r>
      <w:r w:rsidR="00826260">
        <w:t xml:space="preserve"> scenario</w:t>
      </w:r>
      <w:r>
        <w:t xml:space="preserve">. </w:t>
      </w:r>
    </w:p>
    <w:p w:rsidR="00D7274D" w:rsidRDefault="0026440F" w:rsidP="0089081A">
      <w:pPr>
        <w:pStyle w:val="PwCNormal"/>
        <w:sectPr w:rsidR="00D7274D" w:rsidSect="001A7D05">
          <w:pgSz w:w="11907" w:h="16840" w:code="9"/>
          <w:pgMar w:top="1588" w:right="1843" w:bottom="1418" w:left="1843" w:header="567" w:footer="567" w:gutter="0"/>
          <w:cols w:space="227"/>
          <w:titlePg/>
          <w:docGrid w:linePitch="360"/>
        </w:sectPr>
      </w:pPr>
      <w:r>
        <w:fldChar w:fldCharType="begin"/>
      </w:r>
      <w:r>
        <w:instrText xml:space="preserve"> REF _Ref444528026 \h </w:instrText>
      </w:r>
      <w:r>
        <w:fldChar w:fldCharType="separate"/>
      </w:r>
      <w:r w:rsidR="00E22E13">
        <w:t xml:space="preserve">Figure </w:t>
      </w:r>
      <w:r w:rsidR="00E22E13">
        <w:rPr>
          <w:noProof/>
        </w:rPr>
        <w:t>7</w:t>
      </w:r>
      <w:r>
        <w:fldChar w:fldCharType="end"/>
      </w:r>
      <w:r>
        <w:t xml:space="preserve"> presents the consolidated trend of the year-on-year demand forecast</w:t>
      </w:r>
      <w:r w:rsidR="00826260">
        <w:t xml:space="preserve"> under the </w:t>
      </w:r>
      <w:r w:rsidR="004B08E8">
        <w:t>baseline</w:t>
      </w:r>
      <w:r w:rsidR="00826260">
        <w:t xml:space="preserve"> scenario.</w:t>
      </w:r>
    </w:p>
    <w:p w:rsidR="0026440F" w:rsidRDefault="0026440F" w:rsidP="0026440F">
      <w:pPr>
        <w:pStyle w:val="Caption"/>
      </w:pPr>
      <w:bookmarkStart w:id="93" w:name="_Ref444528026"/>
      <w:r>
        <w:t xml:space="preserve">Figure </w:t>
      </w:r>
      <w:fldSimple w:instr=" SEQ Figure \* ARABIC ">
        <w:r w:rsidR="00E22E13">
          <w:rPr>
            <w:noProof/>
          </w:rPr>
          <w:t>7</w:t>
        </w:r>
      </w:fldSimple>
      <w:bookmarkEnd w:id="93"/>
      <w:r>
        <w:t>: Extractive resource demand - Historic data and forecast over the period 20</w:t>
      </w:r>
      <w:r w:rsidR="00C34014">
        <w:t>02</w:t>
      </w:r>
      <w:r>
        <w:t>-50, million tonnes</w:t>
      </w:r>
      <w:r w:rsidR="00826260">
        <w:t>*</w:t>
      </w:r>
    </w:p>
    <w:p w:rsidR="00826260" w:rsidRDefault="00B56C78" w:rsidP="0089081A">
      <w:pPr>
        <w:pStyle w:val="Sources"/>
      </w:pPr>
      <w:r>
        <w:rPr>
          <w:noProof/>
          <w:snapToGrid/>
          <w:lang w:eastAsia="en-AU"/>
        </w:rPr>
        <w:drawing>
          <wp:inline distT="0" distB="0" distL="0" distR="0" wp14:anchorId="2C707AD7" wp14:editId="72255E3F">
            <wp:extent cx="6887760" cy="2352582"/>
            <wp:effectExtent l="0" t="0" r="0" b="0"/>
            <wp:docPr id="20" name="Picture 20" descr="This figure shows extractive resource demand - Historic data and forecast over the period 2002-50.  It shows a significant increase in demand for hard rock and limestone. By 2050 the demand for extractive resources will have about doubled from today’s demand.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88110" cy="2352701"/>
                    </a:xfrm>
                    <a:prstGeom prst="rect">
                      <a:avLst/>
                    </a:prstGeom>
                  </pic:spPr>
                </pic:pic>
              </a:graphicData>
            </a:graphic>
          </wp:inline>
        </w:drawing>
      </w:r>
      <w:r w:rsidR="007331EA">
        <w:br/>
      </w:r>
      <w:r w:rsidR="008517C7">
        <w:br/>
      </w:r>
      <w:r w:rsidR="0026440F">
        <w:t>Source: EY</w:t>
      </w:r>
      <w:r w:rsidR="0026440F" w:rsidRPr="0089081A">
        <w:rPr>
          <w:i/>
        </w:rPr>
        <w:t>, Demand analysis of extractive resources in Victoria</w:t>
      </w:r>
      <w:r w:rsidR="0026440F">
        <w:t>, 2016.</w:t>
      </w:r>
      <w:r w:rsidR="00826260">
        <w:t xml:space="preserve"> *</w:t>
      </w:r>
      <w:r w:rsidR="008517C7">
        <w:t xml:space="preserve">In the Demand analysis, EY has indicated </w:t>
      </w:r>
      <w:r w:rsidR="00826260">
        <w:t xml:space="preserve">that </w:t>
      </w:r>
      <w:r w:rsidR="00114224">
        <w:t xml:space="preserve">steps </w:t>
      </w:r>
      <w:r w:rsidR="00826260">
        <w:t xml:space="preserve">in the forecast are related to population data and average annual growth rates provided by Government projections used in the forecast approach. </w:t>
      </w:r>
    </w:p>
    <w:p w:rsidR="00D7274D" w:rsidRPr="007C0A9C" w:rsidRDefault="00CE2E61" w:rsidP="00D7274D">
      <w:pPr>
        <w:pStyle w:val="PwCNormal"/>
      </w:pPr>
      <w:r>
        <w:fldChar w:fldCharType="begin"/>
      </w:r>
      <w:r>
        <w:instrText xml:space="preserve"> REF _Ref448927102 \h </w:instrText>
      </w:r>
      <w:r>
        <w:fldChar w:fldCharType="separate"/>
      </w:r>
      <w:r w:rsidR="00E22E13">
        <w:t xml:space="preserve">Figure </w:t>
      </w:r>
      <w:r w:rsidR="00E22E13">
        <w:rPr>
          <w:noProof/>
        </w:rPr>
        <w:t>8</w:t>
      </w:r>
      <w:r>
        <w:fldChar w:fldCharType="end"/>
      </w:r>
      <w:r>
        <w:t xml:space="preserve"> </w:t>
      </w:r>
      <w:r w:rsidR="00D7274D">
        <w:t xml:space="preserve">shows the level of demand by LGA type, including Urban Infill, Urban Growth Area and Regional LGAs. These categories are defined in the Glossary. </w:t>
      </w:r>
    </w:p>
    <w:p w:rsidR="00D7274D" w:rsidRDefault="00D7274D" w:rsidP="00D7274D">
      <w:pPr>
        <w:pStyle w:val="Caption"/>
      </w:pPr>
      <w:bookmarkStart w:id="94" w:name="_Ref448927102"/>
      <w:r>
        <w:t xml:space="preserve">Figure </w:t>
      </w:r>
      <w:fldSimple w:instr=" SEQ Figure \* ARABIC ">
        <w:r w:rsidR="00E22E13">
          <w:rPr>
            <w:noProof/>
          </w:rPr>
          <w:t>8</w:t>
        </w:r>
      </w:fldSimple>
      <w:bookmarkEnd w:id="94"/>
      <w:r>
        <w:t>: Extractive resource demand by LGA type, million tonnes*</w:t>
      </w:r>
    </w:p>
    <w:p w:rsidR="00D7274D" w:rsidRDefault="00D7274D" w:rsidP="00D7274D">
      <w:pPr>
        <w:pStyle w:val="Sources"/>
      </w:pPr>
      <w:r>
        <w:rPr>
          <w:noProof/>
          <w:snapToGrid/>
          <w:lang w:eastAsia="en-AU"/>
        </w:rPr>
        <w:drawing>
          <wp:inline distT="0" distB="0" distL="0" distR="0" wp14:anchorId="3331B81A" wp14:editId="157096FD">
            <wp:extent cx="6886800" cy="2442019"/>
            <wp:effectExtent l="0" t="0" r="0" b="0"/>
            <wp:docPr id="315" name="Picture 315" descr="This figure shows demand by LGA type.  It shows the majority of this demand growth is expected to occur in urban environments. There are strong demand increases expected in urban growth area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86800" cy="2442019"/>
                    </a:xfrm>
                    <a:prstGeom prst="rect">
                      <a:avLst/>
                    </a:prstGeom>
                  </pic:spPr>
                </pic:pic>
              </a:graphicData>
            </a:graphic>
          </wp:inline>
        </w:drawing>
      </w:r>
      <w:r>
        <w:br/>
      </w:r>
      <w:r w:rsidR="008517C7">
        <w:br/>
        <w:t>Source: EY</w:t>
      </w:r>
      <w:r w:rsidR="008517C7" w:rsidRPr="0089081A">
        <w:rPr>
          <w:i/>
        </w:rPr>
        <w:t>, Demand analysis of extractive resources in Victoria</w:t>
      </w:r>
      <w:r w:rsidR="008517C7">
        <w:t>, 2016. *In the Demand analysis, EY has indicated that steps in the forecast are related to population data and average annual growth rates provided by Government projections used in the forecast approach.</w:t>
      </w:r>
    </w:p>
    <w:p w:rsidR="00D7274D" w:rsidRDefault="00D7274D" w:rsidP="00B21C81">
      <w:pPr>
        <w:pStyle w:val="PwCNormal"/>
        <w:sectPr w:rsidR="00D7274D" w:rsidSect="001A7D05">
          <w:pgSz w:w="16840" w:h="11907" w:orient="landscape" w:code="9"/>
          <w:pgMar w:top="1843" w:right="1588" w:bottom="1843" w:left="1418" w:header="567" w:footer="567" w:gutter="0"/>
          <w:cols w:space="227"/>
          <w:docGrid w:linePitch="360"/>
        </w:sectPr>
      </w:pPr>
      <w:r>
        <w:t xml:space="preserve">Looking within these LGA categories, as </w:t>
      </w:r>
      <w:r>
        <w:fldChar w:fldCharType="begin"/>
      </w:r>
      <w:r>
        <w:instrText xml:space="preserve"> REF _Ref448927102 \h </w:instrText>
      </w:r>
      <w:r>
        <w:fldChar w:fldCharType="separate"/>
      </w:r>
      <w:r w:rsidR="00E22E13">
        <w:t xml:space="preserve">Figure </w:t>
      </w:r>
      <w:r w:rsidR="00E22E13">
        <w:rPr>
          <w:noProof/>
        </w:rPr>
        <w:t>8</w:t>
      </w:r>
      <w:r>
        <w:fldChar w:fldCharType="end"/>
      </w:r>
      <w:r>
        <w:t xml:space="preserve"> shows t</w:t>
      </w:r>
      <w:r w:rsidR="00826260">
        <w:t xml:space="preserve">he majority of this demand growth is expected to occur in urban environments, which is driven by the expectation for continued strong population growth in these areas. </w:t>
      </w:r>
      <w:r w:rsidR="00153243">
        <w:t xml:space="preserve">There are strong demand increases expected in urban growth areas such as Casey, Whittlesea and Wyndham. </w:t>
      </w:r>
      <w:r>
        <w:t xml:space="preserve">Demand by rock type at key points of the analysis period is summarised in </w:t>
      </w:r>
      <w:r>
        <w:fldChar w:fldCharType="begin"/>
      </w:r>
      <w:r>
        <w:instrText xml:space="preserve"> REF _Ref448926929 \h </w:instrText>
      </w:r>
      <w:r>
        <w:fldChar w:fldCharType="separate"/>
      </w:r>
      <w:r w:rsidR="00E22E13">
        <w:t xml:space="preserve">Table </w:t>
      </w:r>
      <w:r w:rsidR="00E22E13">
        <w:rPr>
          <w:noProof/>
        </w:rPr>
        <w:t>2</w:t>
      </w:r>
      <w:r>
        <w:fldChar w:fldCharType="end"/>
      </w:r>
      <w:r>
        <w:t xml:space="preserve">. </w:t>
      </w:r>
    </w:p>
    <w:p w:rsidR="00D7274D" w:rsidRDefault="00D7274D" w:rsidP="006916CE">
      <w:pPr>
        <w:pStyle w:val="Caption"/>
      </w:pPr>
      <w:bookmarkStart w:id="95" w:name="_Ref448926929"/>
      <w:r>
        <w:t xml:space="preserve">Table </w:t>
      </w:r>
      <w:fldSimple w:instr=" SEQ Table \* ARABIC ">
        <w:r w:rsidR="00E22E13">
          <w:rPr>
            <w:noProof/>
          </w:rPr>
          <w:t>2</w:t>
        </w:r>
      </w:fldSimple>
      <w:bookmarkEnd w:id="95"/>
      <w:r>
        <w:t>: Demand by rock type for the Melbourne Metropolitan region (tonnes)*</w:t>
      </w:r>
    </w:p>
    <w:tbl>
      <w:tblPr>
        <w:tblStyle w:val="Tables-APBase"/>
        <w:tblW w:w="0" w:type="auto"/>
        <w:tblLayout w:type="fixed"/>
        <w:tblLook w:val="04A0" w:firstRow="1" w:lastRow="0" w:firstColumn="1" w:lastColumn="0" w:noHBand="0" w:noVBand="1"/>
        <w:tblCaption w:val="Table 2"/>
        <w:tblDescription w:val="This table shows demand by rock type for the Melbourne Metropolitan region. Between 2015 and 2050, 1,283,545,497 tonnes of hard rock, 101,349,366 tonnes of limestone, 412,130,808 tonnes of sand and gravel and 40,062,953 tonnes of clay and clay shale will be used in the region."/>
      </w:tblPr>
      <w:tblGrid>
        <w:gridCol w:w="1073"/>
        <w:gridCol w:w="1067"/>
        <w:gridCol w:w="1067"/>
        <w:gridCol w:w="1343"/>
        <w:gridCol w:w="1059"/>
        <w:gridCol w:w="1375"/>
        <w:gridCol w:w="1453"/>
      </w:tblGrid>
      <w:tr w:rsidR="00D7274D" w:rsidTr="00E06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73" w:type="dxa"/>
          </w:tcPr>
          <w:p w:rsidR="00D7274D" w:rsidRDefault="00D7274D" w:rsidP="00D041AE">
            <w:pPr>
              <w:pStyle w:val="TableColumnHeadingSmall"/>
            </w:pPr>
            <w:r>
              <w:t>Rock type</w:t>
            </w:r>
          </w:p>
        </w:tc>
        <w:tc>
          <w:tcPr>
            <w:tcW w:w="106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2015</w:t>
            </w:r>
          </w:p>
        </w:tc>
        <w:tc>
          <w:tcPr>
            <w:tcW w:w="106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2025</w:t>
            </w:r>
          </w:p>
        </w:tc>
        <w:tc>
          <w:tcPr>
            <w:tcW w:w="1343" w:type="dxa"/>
          </w:tcPr>
          <w:p w:rsidR="00D7274D" w:rsidRDefault="00D727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 xml:space="preserve"> to 20</w:t>
            </w:r>
            <w:r>
              <w:t>25</w:t>
            </w:r>
          </w:p>
        </w:tc>
        <w:tc>
          <w:tcPr>
            <w:tcW w:w="1059"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2050</w:t>
            </w:r>
          </w:p>
        </w:tc>
        <w:tc>
          <w:tcPr>
            <w:tcW w:w="1375" w:type="dxa"/>
          </w:tcPr>
          <w:p w:rsidR="00D7274D" w:rsidRDefault="00D727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2026</w:t>
            </w:r>
            <w:r w:rsidR="006925D6">
              <w:t xml:space="preserve"> to</w:t>
            </w:r>
            <w:r>
              <w:t>2050</w:t>
            </w:r>
          </w:p>
        </w:tc>
        <w:tc>
          <w:tcPr>
            <w:tcW w:w="1453" w:type="dxa"/>
          </w:tcPr>
          <w:p w:rsidR="00D7274D" w:rsidRDefault="00D7274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 xml:space="preserve"> to 20</w:t>
            </w:r>
            <w:r>
              <w:t>50</w:t>
            </w:r>
          </w:p>
        </w:tc>
      </w:tr>
      <w:tr w:rsidR="00D7274D" w:rsidTr="00E060CE">
        <w:tc>
          <w:tcPr>
            <w:tcW w:w="1073" w:type="dxa"/>
          </w:tcPr>
          <w:p w:rsidR="00D7274D" w:rsidRDefault="00D7274D" w:rsidP="00D041AE">
            <w:pPr>
              <w:pStyle w:val="TableTextSmall"/>
            </w:pPr>
            <w:r w:rsidRPr="000C06AF">
              <w:t>Hard rock</w:t>
            </w:r>
          </w:p>
        </w:tc>
        <w:tc>
          <w:tcPr>
            <w:tcW w:w="1067" w:type="dxa"/>
          </w:tcPr>
          <w:p w:rsidR="00D7274D" w:rsidRDefault="00D7274D" w:rsidP="00D041AE">
            <w:pPr>
              <w:pStyle w:val="TableTextSmall"/>
              <w:jc w:val="right"/>
            </w:pPr>
            <w:r w:rsidRPr="00CB463C">
              <w:t>24,764,886</w:t>
            </w:r>
          </w:p>
        </w:tc>
        <w:tc>
          <w:tcPr>
            <w:tcW w:w="1067" w:type="dxa"/>
          </w:tcPr>
          <w:p w:rsidR="00D7274D" w:rsidRDefault="00D7274D" w:rsidP="00D041AE">
            <w:pPr>
              <w:pStyle w:val="TableTextSmall"/>
              <w:jc w:val="right"/>
            </w:pPr>
            <w:r w:rsidRPr="00CB463C">
              <w:t>29,953,244</w:t>
            </w:r>
          </w:p>
        </w:tc>
        <w:tc>
          <w:tcPr>
            <w:tcW w:w="1343" w:type="dxa"/>
          </w:tcPr>
          <w:p w:rsidR="00D7274D" w:rsidRDefault="00D7274D" w:rsidP="00D041AE">
            <w:pPr>
              <w:pStyle w:val="TableTextSmall"/>
              <w:jc w:val="right"/>
            </w:pPr>
            <w:r w:rsidRPr="00CB463C">
              <w:t>305,250,080</w:t>
            </w:r>
          </w:p>
        </w:tc>
        <w:tc>
          <w:tcPr>
            <w:tcW w:w="1059" w:type="dxa"/>
          </w:tcPr>
          <w:p w:rsidR="00D7274D" w:rsidRDefault="00D7274D" w:rsidP="00D041AE">
            <w:pPr>
              <w:pStyle w:val="TableTextSmall"/>
              <w:jc w:val="right"/>
            </w:pPr>
            <w:r w:rsidRPr="00CB463C">
              <w:t>51,029,658</w:t>
            </w:r>
          </w:p>
        </w:tc>
        <w:tc>
          <w:tcPr>
            <w:tcW w:w="1375" w:type="dxa"/>
          </w:tcPr>
          <w:p w:rsidR="00D7274D" w:rsidRDefault="00D7274D" w:rsidP="00D041AE">
            <w:pPr>
              <w:pStyle w:val="TableTextSmall"/>
              <w:jc w:val="right"/>
            </w:pPr>
            <w:r w:rsidRPr="00CB463C">
              <w:t>978,295,417</w:t>
            </w:r>
          </w:p>
        </w:tc>
        <w:tc>
          <w:tcPr>
            <w:tcW w:w="1453" w:type="dxa"/>
          </w:tcPr>
          <w:p w:rsidR="00D7274D" w:rsidRDefault="00D7274D" w:rsidP="00D041AE">
            <w:pPr>
              <w:pStyle w:val="TableTextSmall"/>
              <w:jc w:val="right"/>
            </w:pPr>
            <w:r w:rsidRPr="00CB463C">
              <w:t>1,283,545,497</w:t>
            </w:r>
          </w:p>
        </w:tc>
      </w:tr>
      <w:tr w:rsidR="00D7274D" w:rsidTr="00E060CE">
        <w:tc>
          <w:tcPr>
            <w:tcW w:w="1073" w:type="dxa"/>
          </w:tcPr>
          <w:p w:rsidR="00D7274D" w:rsidRDefault="00D7274D" w:rsidP="00D041AE">
            <w:pPr>
              <w:pStyle w:val="TableTextSmall"/>
            </w:pPr>
            <w:r w:rsidRPr="000C06AF">
              <w:t>Limestone</w:t>
            </w:r>
          </w:p>
        </w:tc>
        <w:tc>
          <w:tcPr>
            <w:tcW w:w="1067" w:type="dxa"/>
          </w:tcPr>
          <w:p w:rsidR="00D7274D" w:rsidRDefault="00D7274D" w:rsidP="00D041AE">
            <w:pPr>
              <w:pStyle w:val="TableTextSmall"/>
              <w:jc w:val="right"/>
            </w:pPr>
            <w:r w:rsidRPr="00CB463C">
              <w:t>1,709,721</w:t>
            </w:r>
          </w:p>
        </w:tc>
        <w:tc>
          <w:tcPr>
            <w:tcW w:w="1067" w:type="dxa"/>
          </w:tcPr>
          <w:p w:rsidR="00D7274D" w:rsidRDefault="00D7274D" w:rsidP="00D041AE">
            <w:pPr>
              <w:pStyle w:val="TableTextSmall"/>
              <w:jc w:val="right"/>
            </w:pPr>
            <w:r w:rsidRPr="00CB463C">
              <w:t>2,229,169</w:t>
            </w:r>
          </w:p>
        </w:tc>
        <w:tc>
          <w:tcPr>
            <w:tcW w:w="1343" w:type="dxa"/>
          </w:tcPr>
          <w:p w:rsidR="00D7274D" w:rsidRDefault="00D7274D" w:rsidP="00D041AE">
            <w:pPr>
              <w:pStyle w:val="TableTextSmall"/>
              <w:jc w:val="right"/>
            </w:pPr>
            <w:r w:rsidRPr="00CB463C">
              <w:t>21,636,811</w:t>
            </w:r>
          </w:p>
        </w:tc>
        <w:tc>
          <w:tcPr>
            <w:tcW w:w="1059" w:type="dxa"/>
          </w:tcPr>
          <w:p w:rsidR="00D7274D" w:rsidRDefault="00D7274D" w:rsidP="00D041AE">
            <w:pPr>
              <w:pStyle w:val="TableTextSmall"/>
              <w:jc w:val="right"/>
            </w:pPr>
            <w:r w:rsidRPr="00CB463C">
              <w:t>4,344,054</w:t>
            </w:r>
          </w:p>
        </w:tc>
        <w:tc>
          <w:tcPr>
            <w:tcW w:w="1375" w:type="dxa"/>
          </w:tcPr>
          <w:p w:rsidR="00D7274D" w:rsidRDefault="00D7274D" w:rsidP="00D041AE">
            <w:pPr>
              <w:pStyle w:val="TableTextSmall"/>
              <w:jc w:val="right"/>
            </w:pPr>
            <w:r w:rsidRPr="00CB463C">
              <w:t>79,712,556</w:t>
            </w:r>
          </w:p>
        </w:tc>
        <w:tc>
          <w:tcPr>
            <w:tcW w:w="1453" w:type="dxa"/>
          </w:tcPr>
          <w:p w:rsidR="00D7274D" w:rsidRDefault="00D7274D" w:rsidP="00D041AE">
            <w:pPr>
              <w:pStyle w:val="TableTextSmall"/>
              <w:jc w:val="right"/>
            </w:pPr>
            <w:r w:rsidRPr="00CB463C">
              <w:t>101,349,366</w:t>
            </w:r>
          </w:p>
        </w:tc>
      </w:tr>
      <w:tr w:rsidR="00D7274D" w:rsidTr="00E060CE">
        <w:tc>
          <w:tcPr>
            <w:tcW w:w="1073" w:type="dxa"/>
          </w:tcPr>
          <w:p w:rsidR="00D7274D" w:rsidRDefault="00D7274D" w:rsidP="00D041AE">
            <w:pPr>
              <w:pStyle w:val="TableTextSmall"/>
            </w:pPr>
            <w:r w:rsidRPr="000C06AF">
              <w:t>Sand and gravel</w:t>
            </w:r>
          </w:p>
        </w:tc>
        <w:tc>
          <w:tcPr>
            <w:tcW w:w="1067" w:type="dxa"/>
          </w:tcPr>
          <w:p w:rsidR="00D7274D" w:rsidRDefault="00D7274D" w:rsidP="00D041AE">
            <w:pPr>
              <w:pStyle w:val="TableTextSmall"/>
              <w:jc w:val="right"/>
            </w:pPr>
            <w:r w:rsidRPr="00CB463C">
              <w:t>10,197,629</w:t>
            </w:r>
          </w:p>
        </w:tc>
        <w:tc>
          <w:tcPr>
            <w:tcW w:w="1067" w:type="dxa"/>
          </w:tcPr>
          <w:p w:rsidR="00D7274D" w:rsidRDefault="00D7274D" w:rsidP="00D041AE">
            <w:pPr>
              <w:pStyle w:val="TableTextSmall"/>
              <w:jc w:val="right"/>
            </w:pPr>
            <w:r w:rsidRPr="00CB463C">
              <w:t>10,854,517</w:t>
            </w:r>
          </w:p>
        </w:tc>
        <w:tc>
          <w:tcPr>
            <w:tcW w:w="1343" w:type="dxa"/>
          </w:tcPr>
          <w:p w:rsidR="00D7274D" w:rsidRDefault="00D7274D" w:rsidP="00D041AE">
            <w:pPr>
              <w:pStyle w:val="TableTextSmall"/>
              <w:jc w:val="right"/>
            </w:pPr>
            <w:r w:rsidRPr="00CB463C">
              <w:t>120,216,961</w:t>
            </w:r>
          </w:p>
        </w:tc>
        <w:tc>
          <w:tcPr>
            <w:tcW w:w="1059" w:type="dxa"/>
          </w:tcPr>
          <w:p w:rsidR="00D7274D" w:rsidRDefault="00D7274D" w:rsidP="00D041AE">
            <w:pPr>
              <w:pStyle w:val="TableTextSmall"/>
              <w:jc w:val="right"/>
            </w:pPr>
            <w:r w:rsidRPr="00CB463C">
              <w:t>13,549,485</w:t>
            </w:r>
          </w:p>
        </w:tc>
        <w:tc>
          <w:tcPr>
            <w:tcW w:w="1375" w:type="dxa"/>
          </w:tcPr>
          <w:p w:rsidR="00D7274D" w:rsidRDefault="00D7274D" w:rsidP="00D041AE">
            <w:pPr>
              <w:pStyle w:val="TableTextSmall"/>
              <w:jc w:val="right"/>
            </w:pPr>
            <w:r w:rsidRPr="00CB463C">
              <w:t>291,913,846</w:t>
            </w:r>
          </w:p>
        </w:tc>
        <w:tc>
          <w:tcPr>
            <w:tcW w:w="1453" w:type="dxa"/>
          </w:tcPr>
          <w:p w:rsidR="00D7274D" w:rsidRDefault="00D7274D" w:rsidP="00D041AE">
            <w:pPr>
              <w:pStyle w:val="TableTextSmall"/>
              <w:jc w:val="right"/>
            </w:pPr>
            <w:r w:rsidRPr="00CB463C">
              <w:t>412,130,808</w:t>
            </w:r>
          </w:p>
        </w:tc>
      </w:tr>
      <w:tr w:rsidR="00D7274D" w:rsidTr="00E060CE">
        <w:tc>
          <w:tcPr>
            <w:tcW w:w="1073" w:type="dxa"/>
          </w:tcPr>
          <w:p w:rsidR="00D7274D" w:rsidRDefault="00D7274D" w:rsidP="00D041AE">
            <w:pPr>
              <w:pStyle w:val="TableTextSmall"/>
            </w:pPr>
            <w:r w:rsidRPr="000C06AF">
              <w:t>Clay and clay shale</w:t>
            </w:r>
          </w:p>
        </w:tc>
        <w:tc>
          <w:tcPr>
            <w:tcW w:w="1067" w:type="dxa"/>
          </w:tcPr>
          <w:p w:rsidR="00D7274D" w:rsidRDefault="00D7274D" w:rsidP="00D041AE">
            <w:pPr>
              <w:pStyle w:val="TableTextSmall"/>
              <w:jc w:val="right"/>
            </w:pPr>
            <w:r w:rsidRPr="00CB463C">
              <w:t>976,207</w:t>
            </w:r>
          </w:p>
        </w:tc>
        <w:tc>
          <w:tcPr>
            <w:tcW w:w="1067" w:type="dxa"/>
          </w:tcPr>
          <w:p w:rsidR="00D7274D" w:rsidRDefault="00D7274D" w:rsidP="00D041AE">
            <w:pPr>
              <w:pStyle w:val="TableTextSmall"/>
              <w:jc w:val="right"/>
            </w:pPr>
            <w:r w:rsidRPr="00CB463C">
              <w:t>1,053,454</w:t>
            </w:r>
          </w:p>
        </w:tc>
        <w:tc>
          <w:tcPr>
            <w:tcW w:w="1343" w:type="dxa"/>
          </w:tcPr>
          <w:p w:rsidR="00D7274D" w:rsidRDefault="00D7274D" w:rsidP="00D041AE">
            <w:pPr>
              <w:pStyle w:val="TableTextSmall"/>
              <w:jc w:val="right"/>
            </w:pPr>
            <w:r w:rsidRPr="00CB463C">
              <w:t>11,645,875</w:t>
            </w:r>
          </w:p>
        </w:tc>
        <w:tc>
          <w:tcPr>
            <w:tcW w:w="1059" w:type="dxa"/>
          </w:tcPr>
          <w:p w:rsidR="00D7274D" w:rsidRDefault="00D7274D" w:rsidP="00D041AE">
            <w:pPr>
              <w:pStyle w:val="TableTextSmall"/>
              <w:jc w:val="right"/>
            </w:pPr>
            <w:r w:rsidRPr="00CB463C">
              <w:t>1,319,932</w:t>
            </w:r>
          </w:p>
        </w:tc>
        <w:tc>
          <w:tcPr>
            <w:tcW w:w="1375" w:type="dxa"/>
          </w:tcPr>
          <w:p w:rsidR="00D7274D" w:rsidRDefault="00D7274D" w:rsidP="00D041AE">
            <w:pPr>
              <w:pStyle w:val="TableTextSmall"/>
              <w:jc w:val="right"/>
            </w:pPr>
            <w:r w:rsidRPr="00CB463C">
              <w:t>28,417,078</w:t>
            </w:r>
          </w:p>
        </w:tc>
        <w:tc>
          <w:tcPr>
            <w:tcW w:w="1453" w:type="dxa"/>
          </w:tcPr>
          <w:p w:rsidR="00D7274D" w:rsidRDefault="00D7274D" w:rsidP="00D041AE">
            <w:pPr>
              <w:pStyle w:val="TableTextSmall"/>
              <w:jc w:val="right"/>
            </w:pPr>
            <w:r w:rsidRPr="00CB463C">
              <w:t>40,062,953</w:t>
            </w:r>
          </w:p>
        </w:tc>
      </w:tr>
    </w:tbl>
    <w:p w:rsidR="00D7274D" w:rsidRDefault="00D7274D" w:rsidP="006916CE">
      <w:pPr>
        <w:pStyle w:val="Sources"/>
      </w:pPr>
      <w:r>
        <w:t>Source: PwC analysis. *Includes Urban Growth Areas and Urban Infill Areas.</w:t>
      </w:r>
    </w:p>
    <w:p w:rsidR="00B21C81" w:rsidRDefault="00153243" w:rsidP="00B21C81">
      <w:pPr>
        <w:pStyle w:val="PwCNormal"/>
      </w:pPr>
      <w:r>
        <w:t>Material increases are also expected in Victoria’s regional population centres, including Ballarat, Greater Bendigo and Greater Geelong.</w:t>
      </w:r>
      <w:r w:rsidR="007D2210">
        <w:t xml:space="preserve"> </w:t>
      </w:r>
      <w:r w:rsidR="00D7274D">
        <w:t xml:space="preserve">Demand by rock type for regional areas of Victoria is summarised in </w:t>
      </w:r>
      <w:r w:rsidR="00D7274D">
        <w:fldChar w:fldCharType="begin"/>
      </w:r>
      <w:r w:rsidR="00D7274D">
        <w:instrText xml:space="preserve"> REF _Ref448927184 \h </w:instrText>
      </w:r>
      <w:r w:rsidR="00D7274D">
        <w:fldChar w:fldCharType="separate"/>
      </w:r>
      <w:r w:rsidR="00E22E13">
        <w:t xml:space="preserve">Table </w:t>
      </w:r>
      <w:r w:rsidR="00E22E13">
        <w:rPr>
          <w:noProof/>
        </w:rPr>
        <w:t>3</w:t>
      </w:r>
      <w:r w:rsidR="00D7274D">
        <w:fldChar w:fldCharType="end"/>
      </w:r>
      <w:r w:rsidR="00D7274D">
        <w:t xml:space="preserve">. A full list of the </w:t>
      </w:r>
      <w:r w:rsidR="007D2210">
        <w:t xml:space="preserve">LGAs used in this analysis </w:t>
      </w:r>
      <w:r w:rsidR="00D7274D">
        <w:t xml:space="preserve">along with their categorisation </w:t>
      </w:r>
      <w:r w:rsidR="007D2210">
        <w:t xml:space="preserve">is provided at </w:t>
      </w:r>
      <w:r w:rsidR="007D2210">
        <w:fldChar w:fldCharType="begin"/>
      </w:r>
      <w:r w:rsidR="007D2210">
        <w:instrText xml:space="preserve"> REF _Ref448244143 \n \h </w:instrText>
      </w:r>
      <w:r w:rsidR="007D2210">
        <w:fldChar w:fldCharType="separate"/>
      </w:r>
      <w:r w:rsidR="00E22E13">
        <w:t>Appendix F</w:t>
      </w:r>
      <w:r w:rsidR="007D2210">
        <w:fldChar w:fldCharType="end"/>
      </w:r>
      <w:r w:rsidR="007D2210">
        <w:t xml:space="preserve">. </w:t>
      </w:r>
    </w:p>
    <w:p w:rsidR="00D7274D" w:rsidRDefault="00D7274D" w:rsidP="006916CE">
      <w:pPr>
        <w:pStyle w:val="Caption"/>
      </w:pPr>
      <w:bookmarkStart w:id="96" w:name="_Ref448927184"/>
      <w:r>
        <w:t xml:space="preserve">Table </w:t>
      </w:r>
      <w:fldSimple w:instr=" SEQ Table \* ARABIC ">
        <w:r w:rsidR="00E22E13">
          <w:rPr>
            <w:noProof/>
          </w:rPr>
          <w:t>3</w:t>
        </w:r>
      </w:fldSimple>
      <w:bookmarkEnd w:id="96"/>
      <w:r>
        <w:t xml:space="preserve">: </w:t>
      </w:r>
      <w:r w:rsidRPr="00A856B6">
        <w:t xml:space="preserve">Demand by rock type for </w:t>
      </w:r>
      <w:r>
        <w:t>regional Victoria (tonnes)*</w:t>
      </w:r>
    </w:p>
    <w:tbl>
      <w:tblPr>
        <w:tblStyle w:val="Tables-APBase"/>
        <w:tblW w:w="5000" w:type="pct"/>
        <w:tblLayout w:type="fixed"/>
        <w:tblLook w:val="04A0" w:firstRow="1" w:lastRow="0" w:firstColumn="1" w:lastColumn="0" w:noHBand="0" w:noVBand="1"/>
        <w:tblCaption w:val="Table 3"/>
        <w:tblDescription w:val="shows demand by rock type for regional Victoria. Between 2015 and 2050, 316,840,997 tonnes of hard rock, 25,386,795 tonnes of limestone, 99,288,602 tonnes of sand and gravel and 8,993,611 tonnes of clay and clay shale will be used in the region."/>
      </w:tblPr>
      <w:tblGrid>
        <w:gridCol w:w="1206"/>
        <w:gridCol w:w="1205"/>
        <w:gridCol w:w="1205"/>
        <w:gridCol w:w="1205"/>
        <w:gridCol w:w="1205"/>
        <w:gridCol w:w="1205"/>
        <w:gridCol w:w="1206"/>
      </w:tblGrid>
      <w:tr w:rsidR="00D7274D" w:rsidTr="00D041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07" w:type="dxa"/>
          </w:tcPr>
          <w:p w:rsidR="00D7274D" w:rsidRDefault="00D7274D" w:rsidP="00D041AE">
            <w:pPr>
              <w:pStyle w:val="TableColumnHeadingSmall"/>
            </w:pPr>
            <w:r>
              <w:t>Rock type</w:t>
            </w:r>
          </w:p>
        </w:tc>
        <w:tc>
          <w:tcPr>
            <w:tcW w:w="200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2015</w:t>
            </w:r>
          </w:p>
        </w:tc>
        <w:tc>
          <w:tcPr>
            <w:tcW w:w="200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2025</w:t>
            </w:r>
          </w:p>
        </w:tc>
        <w:tc>
          <w:tcPr>
            <w:tcW w:w="2007" w:type="dxa"/>
          </w:tcPr>
          <w:p w:rsidR="00D7274D" w:rsidRDefault="00D727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 xml:space="preserve"> to 20</w:t>
            </w:r>
            <w:r>
              <w:t>25</w:t>
            </w:r>
          </w:p>
        </w:tc>
        <w:tc>
          <w:tcPr>
            <w:tcW w:w="200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2050</w:t>
            </w:r>
          </w:p>
        </w:tc>
        <w:tc>
          <w:tcPr>
            <w:tcW w:w="2007"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2026</w:t>
            </w:r>
            <w:r w:rsidR="006925D6">
              <w:t xml:space="preserve"> to </w:t>
            </w:r>
            <w:r>
              <w:t>2050</w:t>
            </w:r>
          </w:p>
        </w:tc>
        <w:tc>
          <w:tcPr>
            <w:tcW w:w="2008" w:type="dxa"/>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 xml:space="preserve"> to 20</w:t>
            </w:r>
            <w:r>
              <w:t>50</w:t>
            </w:r>
          </w:p>
        </w:tc>
      </w:tr>
      <w:tr w:rsidR="00D7274D" w:rsidTr="00D041AE">
        <w:tc>
          <w:tcPr>
            <w:tcW w:w="2007" w:type="dxa"/>
          </w:tcPr>
          <w:p w:rsidR="00D7274D" w:rsidRDefault="00D7274D" w:rsidP="00D041AE">
            <w:pPr>
              <w:pStyle w:val="TableTextSmall"/>
            </w:pPr>
            <w:r w:rsidRPr="000C06AF">
              <w:t>Hard rock</w:t>
            </w:r>
          </w:p>
        </w:tc>
        <w:tc>
          <w:tcPr>
            <w:tcW w:w="2007" w:type="dxa"/>
          </w:tcPr>
          <w:p w:rsidR="00D7274D" w:rsidRDefault="00D7274D" w:rsidP="00D041AE">
            <w:pPr>
              <w:pStyle w:val="TableTextSmall"/>
              <w:jc w:val="right"/>
            </w:pPr>
            <w:r w:rsidRPr="00725F15">
              <w:t>5,775,731</w:t>
            </w:r>
          </w:p>
        </w:tc>
        <w:tc>
          <w:tcPr>
            <w:tcW w:w="2007" w:type="dxa"/>
          </w:tcPr>
          <w:p w:rsidR="00D7274D" w:rsidRDefault="00D7274D" w:rsidP="00D041AE">
            <w:pPr>
              <w:pStyle w:val="TableTextSmall"/>
              <w:jc w:val="right"/>
            </w:pPr>
            <w:r w:rsidRPr="00725F15">
              <w:t>7,078,040</w:t>
            </w:r>
          </w:p>
        </w:tc>
        <w:tc>
          <w:tcPr>
            <w:tcW w:w="2007" w:type="dxa"/>
          </w:tcPr>
          <w:p w:rsidR="00D7274D" w:rsidRDefault="00D7274D" w:rsidP="00D041AE">
            <w:pPr>
              <w:pStyle w:val="TableTextSmall"/>
              <w:jc w:val="right"/>
            </w:pPr>
            <w:r w:rsidRPr="00725F15">
              <w:t>68,977,360</w:t>
            </w:r>
          </w:p>
        </w:tc>
        <w:tc>
          <w:tcPr>
            <w:tcW w:w="2007" w:type="dxa"/>
          </w:tcPr>
          <w:p w:rsidR="00D7274D" w:rsidRDefault="00D7274D" w:rsidP="00D041AE">
            <w:pPr>
              <w:pStyle w:val="TableTextSmall"/>
              <w:jc w:val="right"/>
            </w:pPr>
            <w:r w:rsidRPr="00725F15">
              <w:t>12,800,520</w:t>
            </w:r>
          </w:p>
        </w:tc>
        <w:tc>
          <w:tcPr>
            <w:tcW w:w="2007" w:type="dxa"/>
          </w:tcPr>
          <w:p w:rsidR="00D7274D" w:rsidRDefault="00D7274D" w:rsidP="00D041AE">
            <w:pPr>
              <w:pStyle w:val="TableTextSmall"/>
              <w:jc w:val="right"/>
            </w:pPr>
            <w:r w:rsidRPr="00725F15">
              <w:t>247,863,637</w:t>
            </w:r>
          </w:p>
        </w:tc>
        <w:tc>
          <w:tcPr>
            <w:tcW w:w="2008" w:type="dxa"/>
          </w:tcPr>
          <w:p w:rsidR="00D7274D" w:rsidRDefault="00D7274D" w:rsidP="00D041AE">
            <w:pPr>
              <w:pStyle w:val="TableTextSmall"/>
              <w:jc w:val="right"/>
            </w:pPr>
            <w:r w:rsidRPr="00725F15">
              <w:t>316,840,997</w:t>
            </w:r>
          </w:p>
        </w:tc>
      </w:tr>
      <w:tr w:rsidR="00D7274D" w:rsidTr="00D041AE">
        <w:tc>
          <w:tcPr>
            <w:tcW w:w="2007" w:type="dxa"/>
          </w:tcPr>
          <w:p w:rsidR="00D7274D" w:rsidRDefault="00D7274D" w:rsidP="00D041AE">
            <w:pPr>
              <w:pStyle w:val="TableTextSmall"/>
            </w:pPr>
            <w:r w:rsidRPr="000C06AF">
              <w:t>Limestone</w:t>
            </w:r>
          </w:p>
        </w:tc>
        <w:tc>
          <w:tcPr>
            <w:tcW w:w="2007" w:type="dxa"/>
          </w:tcPr>
          <w:p w:rsidR="00D7274D" w:rsidRDefault="00D7274D" w:rsidP="00D041AE">
            <w:pPr>
              <w:pStyle w:val="TableTextSmall"/>
              <w:jc w:val="right"/>
            </w:pPr>
            <w:r w:rsidRPr="00725F15">
              <w:t>400,584</w:t>
            </w:r>
          </w:p>
        </w:tc>
        <w:tc>
          <w:tcPr>
            <w:tcW w:w="2007" w:type="dxa"/>
          </w:tcPr>
          <w:p w:rsidR="00D7274D" w:rsidRDefault="00D7274D" w:rsidP="00D041AE">
            <w:pPr>
              <w:pStyle w:val="TableTextSmall"/>
              <w:jc w:val="right"/>
            </w:pPr>
            <w:r w:rsidRPr="00725F15">
              <w:t>532,079</w:t>
            </w:r>
          </w:p>
        </w:tc>
        <w:tc>
          <w:tcPr>
            <w:tcW w:w="2007" w:type="dxa"/>
          </w:tcPr>
          <w:p w:rsidR="00D7274D" w:rsidRDefault="00D7274D" w:rsidP="00D041AE">
            <w:pPr>
              <w:pStyle w:val="TableTextSmall"/>
              <w:jc w:val="right"/>
            </w:pPr>
            <w:r w:rsidRPr="00725F15">
              <w:t>4,986,965</w:t>
            </w:r>
          </w:p>
        </w:tc>
        <w:tc>
          <w:tcPr>
            <w:tcW w:w="2007" w:type="dxa"/>
          </w:tcPr>
          <w:p w:rsidR="00D7274D" w:rsidRDefault="00D7274D" w:rsidP="00D041AE">
            <w:pPr>
              <w:pStyle w:val="TableTextSmall"/>
              <w:jc w:val="right"/>
            </w:pPr>
            <w:r w:rsidRPr="00725F15">
              <w:t>1,096,601</w:t>
            </w:r>
          </w:p>
        </w:tc>
        <w:tc>
          <w:tcPr>
            <w:tcW w:w="2007" w:type="dxa"/>
          </w:tcPr>
          <w:p w:rsidR="00D7274D" w:rsidRDefault="00D7274D" w:rsidP="00D041AE">
            <w:pPr>
              <w:pStyle w:val="TableTextSmall"/>
              <w:jc w:val="right"/>
            </w:pPr>
            <w:r w:rsidRPr="00725F15">
              <w:t>20,399,830</w:t>
            </w:r>
          </w:p>
        </w:tc>
        <w:tc>
          <w:tcPr>
            <w:tcW w:w="2008" w:type="dxa"/>
          </w:tcPr>
          <w:p w:rsidR="00D7274D" w:rsidRDefault="00D7274D" w:rsidP="00D041AE">
            <w:pPr>
              <w:pStyle w:val="TableTextSmall"/>
              <w:jc w:val="right"/>
            </w:pPr>
            <w:r w:rsidRPr="00725F15">
              <w:t>25,386,795</w:t>
            </w:r>
          </w:p>
        </w:tc>
      </w:tr>
      <w:tr w:rsidR="00D7274D" w:rsidTr="00D041AE">
        <w:tc>
          <w:tcPr>
            <w:tcW w:w="2007" w:type="dxa"/>
          </w:tcPr>
          <w:p w:rsidR="00D7274D" w:rsidRDefault="00D7274D" w:rsidP="00D041AE">
            <w:pPr>
              <w:pStyle w:val="TableTextSmall"/>
            </w:pPr>
            <w:r w:rsidRPr="000C06AF">
              <w:t>Sand and gravel</w:t>
            </w:r>
          </w:p>
        </w:tc>
        <w:tc>
          <w:tcPr>
            <w:tcW w:w="2007" w:type="dxa"/>
          </w:tcPr>
          <w:p w:rsidR="00D7274D" w:rsidRDefault="00D7274D" w:rsidP="00D041AE">
            <w:pPr>
              <w:pStyle w:val="TableTextSmall"/>
              <w:jc w:val="right"/>
            </w:pPr>
            <w:r w:rsidRPr="00725F15">
              <w:t>2,377,993</w:t>
            </w:r>
          </w:p>
        </w:tc>
        <w:tc>
          <w:tcPr>
            <w:tcW w:w="2007" w:type="dxa"/>
          </w:tcPr>
          <w:p w:rsidR="00D7274D" w:rsidRDefault="00D7274D" w:rsidP="00D041AE">
            <w:pPr>
              <w:pStyle w:val="TableTextSmall"/>
              <w:jc w:val="right"/>
            </w:pPr>
            <w:r w:rsidRPr="00725F15">
              <w:t>2,544,159</w:t>
            </w:r>
          </w:p>
        </w:tc>
        <w:tc>
          <w:tcPr>
            <w:tcW w:w="2007" w:type="dxa"/>
          </w:tcPr>
          <w:p w:rsidR="00D7274D" w:rsidRDefault="00D7274D" w:rsidP="00D041AE">
            <w:pPr>
              <w:pStyle w:val="TableTextSmall"/>
              <w:jc w:val="right"/>
            </w:pPr>
            <w:r w:rsidRPr="00725F15">
              <w:t>26,885,779</w:t>
            </w:r>
          </w:p>
        </w:tc>
        <w:tc>
          <w:tcPr>
            <w:tcW w:w="2007" w:type="dxa"/>
          </w:tcPr>
          <w:p w:rsidR="00D7274D" w:rsidRDefault="00D7274D" w:rsidP="00D041AE">
            <w:pPr>
              <w:pStyle w:val="TableTextSmall"/>
              <w:jc w:val="right"/>
            </w:pPr>
            <w:r w:rsidRPr="00725F15">
              <w:t>3,322,657</w:t>
            </w:r>
          </w:p>
        </w:tc>
        <w:tc>
          <w:tcPr>
            <w:tcW w:w="2007" w:type="dxa"/>
          </w:tcPr>
          <w:p w:rsidR="00D7274D" w:rsidRDefault="00D7274D" w:rsidP="00D041AE">
            <w:pPr>
              <w:pStyle w:val="TableTextSmall"/>
              <w:jc w:val="right"/>
            </w:pPr>
            <w:r w:rsidRPr="00725F15">
              <w:t>72,402,823</w:t>
            </w:r>
          </w:p>
        </w:tc>
        <w:tc>
          <w:tcPr>
            <w:tcW w:w="2008" w:type="dxa"/>
          </w:tcPr>
          <w:p w:rsidR="00D7274D" w:rsidRDefault="00D7274D" w:rsidP="00D041AE">
            <w:pPr>
              <w:pStyle w:val="TableTextSmall"/>
              <w:jc w:val="right"/>
            </w:pPr>
            <w:r w:rsidRPr="00725F15">
              <w:t>99,288,602</w:t>
            </w:r>
          </w:p>
        </w:tc>
      </w:tr>
      <w:tr w:rsidR="00D7274D" w:rsidTr="00D041AE">
        <w:tc>
          <w:tcPr>
            <w:tcW w:w="2007" w:type="dxa"/>
          </w:tcPr>
          <w:p w:rsidR="00D7274D" w:rsidRDefault="00D7274D" w:rsidP="00D041AE">
            <w:pPr>
              <w:pStyle w:val="TableTextSmall"/>
            </w:pPr>
            <w:r w:rsidRPr="000C06AF">
              <w:t>Clay and clay shale</w:t>
            </w:r>
          </w:p>
        </w:tc>
        <w:tc>
          <w:tcPr>
            <w:tcW w:w="2007" w:type="dxa"/>
          </w:tcPr>
          <w:p w:rsidR="00D7274D" w:rsidRDefault="00D7274D" w:rsidP="00D041AE">
            <w:pPr>
              <w:pStyle w:val="TableTextSmall"/>
              <w:jc w:val="right"/>
            </w:pPr>
            <w:r w:rsidRPr="00725F15">
              <w:t>230,077</w:t>
            </w:r>
          </w:p>
        </w:tc>
        <w:tc>
          <w:tcPr>
            <w:tcW w:w="2007" w:type="dxa"/>
          </w:tcPr>
          <w:p w:rsidR="00D7274D" w:rsidRDefault="00D7274D" w:rsidP="00D041AE">
            <w:pPr>
              <w:pStyle w:val="TableTextSmall"/>
              <w:jc w:val="right"/>
            </w:pPr>
            <w:r w:rsidRPr="00725F15">
              <w:t>231,779</w:t>
            </w:r>
          </w:p>
        </w:tc>
        <w:tc>
          <w:tcPr>
            <w:tcW w:w="2007" w:type="dxa"/>
          </w:tcPr>
          <w:p w:rsidR="00D7274D" w:rsidRDefault="00D7274D" w:rsidP="00D041AE">
            <w:pPr>
              <w:pStyle w:val="TableTextSmall"/>
              <w:jc w:val="right"/>
            </w:pPr>
            <w:r w:rsidRPr="00725F15">
              <w:t>2,464,569</w:t>
            </w:r>
          </w:p>
        </w:tc>
        <w:tc>
          <w:tcPr>
            <w:tcW w:w="2007" w:type="dxa"/>
          </w:tcPr>
          <w:p w:rsidR="00D7274D" w:rsidRDefault="00D7274D" w:rsidP="00D041AE">
            <w:pPr>
              <w:pStyle w:val="TableTextSmall"/>
              <w:jc w:val="right"/>
            </w:pPr>
            <w:r w:rsidRPr="00725F15">
              <w:t>298,484</w:t>
            </w:r>
          </w:p>
        </w:tc>
        <w:tc>
          <w:tcPr>
            <w:tcW w:w="2007" w:type="dxa"/>
          </w:tcPr>
          <w:p w:rsidR="00D7274D" w:rsidRDefault="00D7274D" w:rsidP="00D041AE">
            <w:pPr>
              <w:pStyle w:val="TableTextSmall"/>
              <w:jc w:val="right"/>
            </w:pPr>
            <w:r w:rsidRPr="00725F15">
              <w:t>6,529,042</w:t>
            </w:r>
          </w:p>
        </w:tc>
        <w:tc>
          <w:tcPr>
            <w:tcW w:w="2008" w:type="dxa"/>
          </w:tcPr>
          <w:p w:rsidR="00D7274D" w:rsidRDefault="00D7274D" w:rsidP="00D041AE">
            <w:pPr>
              <w:pStyle w:val="TableTextSmall"/>
              <w:jc w:val="right"/>
            </w:pPr>
            <w:r w:rsidRPr="00725F15">
              <w:t>8,993,611</w:t>
            </w:r>
          </w:p>
        </w:tc>
      </w:tr>
    </w:tbl>
    <w:p w:rsidR="00D7274D" w:rsidRDefault="00D7274D" w:rsidP="00D7274D">
      <w:pPr>
        <w:pStyle w:val="Sources"/>
      </w:pPr>
      <w:r>
        <w:t>Source: PwC analysis. *Includes all LGAs not classified as Urban Growth Areas or Urban Infill Areas.</w:t>
      </w:r>
    </w:p>
    <w:p w:rsidR="00D7274D" w:rsidRDefault="00D7274D" w:rsidP="0089081A">
      <w:pPr>
        <w:pStyle w:val="PwCNormal"/>
      </w:pPr>
      <w:r>
        <w:t xml:space="preserve">Total State demand by resource type for key points of the analysis period is provided in </w:t>
      </w:r>
      <w:r>
        <w:fldChar w:fldCharType="begin"/>
      </w:r>
      <w:r>
        <w:instrText xml:space="preserve"> REF _Ref448927291 \h </w:instrText>
      </w:r>
      <w:r>
        <w:fldChar w:fldCharType="separate"/>
      </w:r>
      <w:r w:rsidR="00E22E13">
        <w:t xml:space="preserve">Table </w:t>
      </w:r>
      <w:r w:rsidR="00E22E13">
        <w:rPr>
          <w:noProof/>
        </w:rPr>
        <w:t>4</w:t>
      </w:r>
      <w:r>
        <w:fldChar w:fldCharType="end"/>
      </w:r>
      <w:r w:rsidR="00806B28">
        <w:t>.</w:t>
      </w:r>
    </w:p>
    <w:p w:rsidR="00D7274D" w:rsidRDefault="00D7274D" w:rsidP="006916CE">
      <w:pPr>
        <w:pStyle w:val="Caption"/>
      </w:pPr>
      <w:bookmarkStart w:id="97" w:name="_Ref448927291"/>
      <w:r>
        <w:t xml:space="preserve">Table </w:t>
      </w:r>
      <w:fldSimple w:instr=" SEQ Table \* ARABIC ">
        <w:r w:rsidR="00E22E13">
          <w:rPr>
            <w:noProof/>
          </w:rPr>
          <w:t>4</w:t>
        </w:r>
      </w:fldSimple>
      <w:bookmarkEnd w:id="97"/>
      <w:r>
        <w:t xml:space="preserve">: </w:t>
      </w:r>
      <w:r w:rsidRPr="00096C2B">
        <w:t xml:space="preserve">Demand by rock type for </w:t>
      </w:r>
      <w:r>
        <w:t>Victoria, total (tonnes)</w:t>
      </w:r>
    </w:p>
    <w:tbl>
      <w:tblPr>
        <w:tblStyle w:val="Tables-APBase"/>
        <w:tblW w:w="0" w:type="auto"/>
        <w:tblLook w:val="04A0" w:firstRow="1" w:lastRow="0" w:firstColumn="1" w:lastColumn="0" w:noHBand="0" w:noVBand="1"/>
        <w:tblCaption w:val="Table 4"/>
        <w:tblDescription w:val="Table 4 shows demand by rock type for the whole of Victoria. Between 2015 and 2050, 1,600,386,493 126,736,161 tonnes of hard rock, 511,419,410 tonnes of limestone, 49,056,563 tonnes of sand and gravel and 8,993,611 tonnes of clay and clay shale will be used in the region."/>
      </w:tblPr>
      <w:tblGrid>
        <w:gridCol w:w="1044"/>
        <w:gridCol w:w="1055"/>
        <w:gridCol w:w="1055"/>
        <w:gridCol w:w="1336"/>
        <w:gridCol w:w="1049"/>
        <w:gridCol w:w="1452"/>
        <w:gridCol w:w="1446"/>
      </w:tblGrid>
      <w:tr w:rsidR="00D7274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D7274D" w:rsidRDefault="00D7274D" w:rsidP="00D041AE">
            <w:pPr>
              <w:pStyle w:val="TableColumnHeadingSmall"/>
            </w:pPr>
            <w:r>
              <w:t>Rock type</w:t>
            </w:r>
          </w:p>
        </w:tc>
        <w:tc>
          <w:tcPr>
            <w:tcW w:w="0" w:type="auto"/>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2015</w:t>
            </w:r>
          </w:p>
        </w:tc>
        <w:tc>
          <w:tcPr>
            <w:tcW w:w="0" w:type="auto"/>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2025</w:t>
            </w:r>
          </w:p>
        </w:tc>
        <w:tc>
          <w:tcPr>
            <w:tcW w:w="0" w:type="auto"/>
          </w:tcPr>
          <w:p w:rsidR="00D7274D" w:rsidRDefault="00D727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 xml:space="preserve"> to 20</w:t>
            </w:r>
            <w:r>
              <w:t>25</w:t>
            </w:r>
          </w:p>
        </w:tc>
        <w:tc>
          <w:tcPr>
            <w:tcW w:w="0" w:type="auto"/>
          </w:tcPr>
          <w:p w:rsidR="00D7274D" w:rsidRDefault="00D7274D" w:rsidP="00D041A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2050</w:t>
            </w:r>
          </w:p>
        </w:tc>
        <w:tc>
          <w:tcPr>
            <w:tcW w:w="0" w:type="auto"/>
          </w:tcPr>
          <w:p w:rsidR="00D7274D" w:rsidRDefault="00D727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2026</w:t>
            </w:r>
            <w:r w:rsidR="006925D6">
              <w:t xml:space="preserve"> to </w:t>
            </w:r>
            <w:r>
              <w:t>2050</w:t>
            </w:r>
          </w:p>
        </w:tc>
        <w:tc>
          <w:tcPr>
            <w:tcW w:w="0" w:type="auto"/>
          </w:tcPr>
          <w:p w:rsidR="00D7274D" w:rsidRDefault="00D7274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6925D6">
              <w:t>to 205</w:t>
            </w:r>
            <w:r>
              <w:t>0</w:t>
            </w:r>
          </w:p>
        </w:tc>
      </w:tr>
      <w:tr w:rsidR="009204C1" w:rsidTr="006916CE">
        <w:tc>
          <w:tcPr>
            <w:tcW w:w="0" w:type="auto"/>
          </w:tcPr>
          <w:p w:rsidR="009204C1" w:rsidRDefault="009204C1" w:rsidP="00D041AE">
            <w:pPr>
              <w:pStyle w:val="TableTextSmall"/>
            </w:pPr>
            <w:r w:rsidRPr="000C06AF">
              <w:t>Hard rock</w:t>
            </w:r>
          </w:p>
        </w:tc>
        <w:tc>
          <w:tcPr>
            <w:tcW w:w="0" w:type="auto"/>
          </w:tcPr>
          <w:p w:rsidR="009204C1" w:rsidRDefault="009204C1" w:rsidP="00D041AE">
            <w:pPr>
              <w:pStyle w:val="TableTextSmall"/>
              <w:jc w:val="right"/>
            </w:pPr>
            <w:r w:rsidRPr="004A1F9D">
              <w:t>30,540,617</w:t>
            </w:r>
          </w:p>
        </w:tc>
        <w:tc>
          <w:tcPr>
            <w:tcW w:w="0" w:type="auto"/>
          </w:tcPr>
          <w:p w:rsidR="009204C1" w:rsidRDefault="009204C1" w:rsidP="00D041AE">
            <w:pPr>
              <w:pStyle w:val="TableTextSmall"/>
              <w:jc w:val="right"/>
            </w:pPr>
            <w:r w:rsidRPr="004A1F9D">
              <w:t>37,031,284</w:t>
            </w:r>
          </w:p>
        </w:tc>
        <w:tc>
          <w:tcPr>
            <w:tcW w:w="0" w:type="auto"/>
          </w:tcPr>
          <w:p w:rsidR="009204C1" w:rsidRDefault="009204C1" w:rsidP="00D041AE">
            <w:pPr>
              <w:pStyle w:val="TableTextSmall"/>
              <w:jc w:val="right"/>
            </w:pPr>
            <w:r w:rsidRPr="004A1F9D">
              <w:t>374,227,440</w:t>
            </w:r>
          </w:p>
        </w:tc>
        <w:tc>
          <w:tcPr>
            <w:tcW w:w="0" w:type="auto"/>
          </w:tcPr>
          <w:p w:rsidR="009204C1" w:rsidRDefault="009204C1" w:rsidP="00D041AE">
            <w:pPr>
              <w:pStyle w:val="TableTextSmall"/>
              <w:jc w:val="right"/>
            </w:pPr>
            <w:r w:rsidRPr="004A1F9D">
              <w:t>63,830,178</w:t>
            </w:r>
          </w:p>
        </w:tc>
        <w:tc>
          <w:tcPr>
            <w:tcW w:w="0" w:type="auto"/>
          </w:tcPr>
          <w:p w:rsidR="009204C1" w:rsidRDefault="009204C1" w:rsidP="00D041AE">
            <w:pPr>
              <w:pStyle w:val="TableTextSmall"/>
              <w:jc w:val="right"/>
            </w:pPr>
            <w:r w:rsidRPr="004A1F9D">
              <w:t>1,226,159,054</w:t>
            </w:r>
          </w:p>
        </w:tc>
        <w:tc>
          <w:tcPr>
            <w:tcW w:w="0" w:type="auto"/>
          </w:tcPr>
          <w:p w:rsidR="009204C1" w:rsidRDefault="009204C1" w:rsidP="00D041AE">
            <w:pPr>
              <w:pStyle w:val="TableTextSmall"/>
              <w:jc w:val="right"/>
            </w:pPr>
            <w:r w:rsidRPr="004A1F9D">
              <w:t>1,600,386,493</w:t>
            </w:r>
          </w:p>
        </w:tc>
      </w:tr>
      <w:tr w:rsidR="009204C1" w:rsidTr="006916CE">
        <w:tc>
          <w:tcPr>
            <w:tcW w:w="0" w:type="auto"/>
          </w:tcPr>
          <w:p w:rsidR="009204C1" w:rsidRDefault="009204C1" w:rsidP="00D041AE">
            <w:pPr>
              <w:pStyle w:val="TableTextSmall"/>
            </w:pPr>
            <w:r w:rsidRPr="000C06AF">
              <w:t>Limestone</w:t>
            </w:r>
          </w:p>
        </w:tc>
        <w:tc>
          <w:tcPr>
            <w:tcW w:w="0" w:type="auto"/>
          </w:tcPr>
          <w:p w:rsidR="009204C1" w:rsidRDefault="009204C1" w:rsidP="00D041AE">
            <w:pPr>
              <w:pStyle w:val="TableTextSmall"/>
              <w:jc w:val="right"/>
            </w:pPr>
            <w:r w:rsidRPr="004A1F9D">
              <w:t>2,110,304</w:t>
            </w:r>
          </w:p>
        </w:tc>
        <w:tc>
          <w:tcPr>
            <w:tcW w:w="0" w:type="auto"/>
          </w:tcPr>
          <w:p w:rsidR="009204C1" w:rsidRDefault="009204C1" w:rsidP="00D041AE">
            <w:pPr>
              <w:pStyle w:val="TableTextSmall"/>
              <w:jc w:val="right"/>
            </w:pPr>
            <w:r w:rsidRPr="004A1F9D">
              <w:t>2,761,248</w:t>
            </w:r>
          </w:p>
        </w:tc>
        <w:tc>
          <w:tcPr>
            <w:tcW w:w="0" w:type="auto"/>
          </w:tcPr>
          <w:p w:rsidR="009204C1" w:rsidRDefault="009204C1" w:rsidP="00D041AE">
            <w:pPr>
              <w:pStyle w:val="TableTextSmall"/>
              <w:jc w:val="right"/>
            </w:pPr>
            <w:r w:rsidRPr="004A1F9D">
              <w:t>26,623,776</w:t>
            </w:r>
          </w:p>
        </w:tc>
        <w:tc>
          <w:tcPr>
            <w:tcW w:w="0" w:type="auto"/>
          </w:tcPr>
          <w:p w:rsidR="009204C1" w:rsidRDefault="009204C1" w:rsidP="00D041AE">
            <w:pPr>
              <w:pStyle w:val="TableTextSmall"/>
              <w:jc w:val="right"/>
            </w:pPr>
            <w:r w:rsidRPr="004A1F9D">
              <w:t>5,440,655</w:t>
            </w:r>
          </w:p>
        </w:tc>
        <w:tc>
          <w:tcPr>
            <w:tcW w:w="0" w:type="auto"/>
          </w:tcPr>
          <w:p w:rsidR="009204C1" w:rsidRDefault="009204C1" w:rsidP="00D041AE">
            <w:pPr>
              <w:pStyle w:val="TableTextSmall"/>
              <w:jc w:val="right"/>
            </w:pPr>
            <w:r w:rsidRPr="004A1F9D">
              <w:t>100,112,385</w:t>
            </w:r>
          </w:p>
        </w:tc>
        <w:tc>
          <w:tcPr>
            <w:tcW w:w="0" w:type="auto"/>
          </w:tcPr>
          <w:p w:rsidR="009204C1" w:rsidRDefault="009204C1" w:rsidP="00D041AE">
            <w:pPr>
              <w:pStyle w:val="TableTextSmall"/>
              <w:jc w:val="right"/>
            </w:pPr>
            <w:r w:rsidRPr="004A1F9D">
              <w:t>126,736,161</w:t>
            </w:r>
          </w:p>
        </w:tc>
      </w:tr>
      <w:tr w:rsidR="009204C1" w:rsidTr="006916CE">
        <w:tc>
          <w:tcPr>
            <w:tcW w:w="0" w:type="auto"/>
          </w:tcPr>
          <w:p w:rsidR="009204C1" w:rsidRDefault="009204C1" w:rsidP="00D041AE">
            <w:pPr>
              <w:pStyle w:val="TableTextSmall"/>
            </w:pPr>
            <w:r w:rsidRPr="000C06AF">
              <w:t>Sand and gravel</w:t>
            </w:r>
          </w:p>
        </w:tc>
        <w:tc>
          <w:tcPr>
            <w:tcW w:w="0" w:type="auto"/>
          </w:tcPr>
          <w:p w:rsidR="009204C1" w:rsidRDefault="009204C1" w:rsidP="00D041AE">
            <w:pPr>
              <w:pStyle w:val="TableTextSmall"/>
              <w:jc w:val="right"/>
            </w:pPr>
            <w:r w:rsidRPr="004A1F9D">
              <w:t>12,575,622</w:t>
            </w:r>
          </w:p>
        </w:tc>
        <w:tc>
          <w:tcPr>
            <w:tcW w:w="0" w:type="auto"/>
          </w:tcPr>
          <w:p w:rsidR="009204C1" w:rsidRDefault="009204C1" w:rsidP="00D041AE">
            <w:pPr>
              <w:pStyle w:val="TableTextSmall"/>
              <w:jc w:val="right"/>
            </w:pPr>
            <w:r w:rsidRPr="004A1F9D">
              <w:t>13,398,676</w:t>
            </w:r>
          </w:p>
        </w:tc>
        <w:tc>
          <w:tcPr>
            <w:tcW w:w="0" w:type="auto"/>
          </w:tcPr>
          <w:p w:rsidR="009204C1" w:rsidRDefault="009204C1" w:rsidP="00D041AE">
            <w:pPr>
              <w:pStyle w:val="TableTextSmall"/>
              <w:jc w:val="right"/>
            </w:pPr>
            <w:r w:rsidRPr="004A1F9D">
              <w:t>147,102,740</w:t>
            </w:r>
          </w:p>
        </w:tc>
        <w:tc>
          <w:tcPr>
            <w:tcW w:w="0" w:type="auto"/>
          </w:tcPr>
          <w:p w:rsidR="009204C1" w:rsidRDefault="009204C1" w:rsidP="00D041AE">
            <w:pPr>
              <w:pStyle w:val="TableTextSmall"/>
              <w:jc w:val="right"/>
            </w:pPr>
            <w:r w:rsidRPr="004A1F9D">
              <w:t>16,872,142</w:t>
            </w:r>
          </w:p>
        </w:tc>
        <w:tc>
          <w:tcPr>
            <w:tcW w:w="0" w:type="auto"/>
          </w:tcPr>
          <w:p w:rsidR="009204C1" w:rsidRDefault="009204C1" w:rsidP="00D041AE">
            <w:pPr>
              <w:pStyle w:val="TableTextSmall"/>
              <w:jc w:val="right"/>
            </w:pPr>
            <w:r w:rsidRPr="004A1F9D">
              <w:t>364,316,670</w:t>
            </w:r>
          </w:p>
        </w:tc>
        <w:tc>
          <w:tcPr>
            <w:tcW w:w="0" w:type="auto"/>
          </w:tcPr>
          <w:p w:rsidR="009204C1" w:rsidRDefault="009204C1" w:rsidP="00D041AE">
            <w:pPr>
              <w:pStyle w:val="TableTextSmall"/>
              <w:jc w:val="right"/>
            </w:pPr>
            <w:r w:rsidRPr="004A1F9D">
              <w:t>511,419,410</w:t>
            </w:r>
          </w:p>
        </w:tc>
      </w:tr>
      <w:tr w:rsidR="009204C1" w:rsidTr="006916CE">
        <w:tc>
          <w:tcPr>
            <w:tcW w:w="0" w:type="auto"/>
          </w:tcPr>
          <w:p w:rsidR="009204C1" w:rsidRDefault="009204C1" w:rsidP="00D041AE">
            <w:pPr>
              <w:pStyle w:val="TableTextSmall"/>
            </w:pPr>
            <w:r w:rsidRPr="000C06AF">
              <w:t>Clay and clay shale</w:t>
            </w:r>
          </w:p>
        </w:tc>
        <w:tc>
          <w:tcPr>
            <w:tcW w:w="0" w:type="auto"/>
          </w:tcPr>
          <w:p w:rsidR="009204C1" w:rsidRDefault="009204C1" w:rsidP="00D041AE">
            <w:pPr>
              <w:pStyle w:val="TableTextSmall"/>
              <w:jc w:val="right"/>
            </w:pPr>
            <w:r w:rsidRPr="004A1F9D">
              <w:t>1,206,284</w:t>
            </w:r>
          </w:p>
        </w:tc>
        <w:tc>
          <w:tcPr>
            <w:tcW w:w="0" w:type="auto"/>
          </w:tcPr>
          <w:p w:rsidR="009204C1" w:rsidRDefault="009204C1" w:rsidP="00D041AE">
            <w:pPr>
              <w:pStyle w:val="TableTextSmall"/>
              <w:jc w:val="right"/>
            </w:pPr>
            <w:r w:rsidRPr="004A1F9D">
              <w:t>1,285,233</w:t>
            </w:r>
          </w:p>
        </w:tc>
        <w:tc>
          <w:tcPr>
            <w:tcW w:w="0" w:type="auto"/>
          </w:tcPr>
          <w:p w:rsidR="009204C1" w:rsidRDefault="009204C1" w:rsidP="00D041AE">
            <w:pPr>
              <w:pStyle w:val="TableTextSmall"/>
              <w:jc w:val="right"/>
            </w:pPr>
            <w:r w:rsidRPr="004A1F9D">
              <w:t>14,110,444</w:t>
            </w:r>
          </w:p>
        </w:tc>
        <w:tc>
          <w:tcPr>
            <w:tcW w:w="0" w:type="auto"/>
          </w:tcPr>
          <w:p w:rsidR="009204C1" w:rsidRDefault="009204C1" w:rsidP="00D041AE">
            <w:pPr>
              <w:pStyle w:val="TableTextSmall"/>
              <w:jc w:val="right"/>
            </w:pPr>
            <w:r w:rsidRPr="004A1F9D">
              <w:t>1,618,416</w:t>
            </w:r>
          </w:p>
        </w:tc>
        <w:tc>
          <w:tcPr>
            <w:tcW w:w="0" w:type="auto"/>
          </w:tcPr>
          <w:p w:rsidR="009204C1" w:rsidRDefault="009204C1" w:rsidP="00D041AE">
            <w:pPr>
              <w:pStyle w:val="TableTextSmall"/>
              <w:jc w:val="right"/>
            </w:pPr>
            <w:r w:rsidRPr="004A1F9D">
              <w:t>34,946,119</w:t>
            </w:r>
          </w:p>
        </w:tc>
        <w:tc>
          <w:tcPr>
            <w:tcW w:w="0" w:type="auto"/>
          </w:tcPr>
          <w:p w:rsidR="009204C1" w:rsidRDefault="009204C1" w:rsidP="00D041AE">
            <w:pPr>
              <w:pStyle w:val="TableTextSmall"/>
              <w:jc w:val="right"/>
            </w:pPr>
            <w:r w:rsidRPr="004A1F9D">
              <w:t>49,056,563</w:t>
            </w:r>
          </w:p>
        </w:tc>
      </w:tr>
    </w:tbl>
    <w:p w:rsidR="00D7274D" w:rsidRDefault="00D7274D" w:rsidP="006916CE">
      <w:pPr>
        <w:pStyle w:val="Sources"/>
      </w:pPr>
      <w:r>
        <w:t>Source: PwC analysis</w:t>
      </w:r>
    </w:p>
    <w:p w:rsidR="00153243" w:rsidRDefault="00153243" w:rsidP="0089081A">
      <w:pPr>
        <w:pStyle w:val="PwCNormal"/>
      </w:pPr>
      <w:r>
        <w:t>The top ten LGAs ranked by total demand across 2015</w:t>
      </w:r>
      <w:r w:rsidR="006925D6">
        <w:t xml:space="preserve"> to 20</w:t>
      </w:r>
      <w:r>
        <w:t xml:space="preserve">25 </w:t>
      </w:r>
      <w:r w:rsidR="00CC0602">
        <w:t xml:space="preserve">under the baseline scenario </w:t>
      </w:r>
      <w:r>
        <w:t xml:space="preserve">are listed in </w:t>
      </w:r>
      <w:r>
        <w:fldChar w:fldCharType="begin"/>
      </w:r>
      <w:r>
        <w:instrText xml:space="preserve"> REF _Ref444529053 \h </w:instrText>
      </w:r>
      <w:r>
        <w:fldChar w:fldCharType="separate"/>
      </w:r>
      <w:r w:rsidR="00E22E13">
        <w:t xml:space="preserve">Table </w:t>
      </w:r>
      <w:r w:rsidR="00E22E13">
        <w:rPr>
          <w:noProof/>
        </w:rPr>
        <w:t>5</w:t>
      </w:r>
      <w:r>
        <w:fldChar w:fldCharType="end"/>
      </w:r>
      <w:r>
        <w:t>.</w:t>
      </w:r>
      <w:r w:rsidR="00CC0602">
        <w:t xml:space="preserve"> </w:t>
      </w:r>
    </w:p>
    <w:p w:rsidR="00153243" w:rsidRDefault="00153243" w:rsidP="0089081A">
      <w:pPr>
        <w:pStyle w:val="Caption"/>
      </w:pPr>
      <w:bookmarkStart w:id="98" w:name="_Ref444529053"/>
      <w:r>
        <w:t xml:space="preserve">Table </w:t>
      </w:r>
      <w:fldSimple w:instr=" SEQ Table \* ARABIC ">
        <w:r w:rsidR="00E22E13">
          <w:rPr>
            <w:noProof/>
          </w:rPr>
          <w:t>5</w:t>
        </w:r>
      </w:fldSimple>
      <w:bookmarkEnd w:id="98"/>
      <w:r>
        <w:t>: Demand forecast (</w:t>
      </w:r>
      <w:r w:rsidR="004B08E8">
        <w:t>baseline</w:t>
      </w:r>
      <w:r>
        <w:t xml:space="preserve">) - Top ten LGAs by total resource demand, </w:t>
      </w:r>
      <w:r w:rsidR="00BF0B9E">
        <w:t xml:space="preserve">cumulative </w:t>
      </w:r>
      <w:r>
        <w:t>2015</w:t>
      </w:r>
      <w:r w:rsidR="006925D6">
        <w:t xml:space="preserve"> to 20</w:t>
      </w:r>
      <w:r>
        <w:t>25</w:t>
      </w:r>
      <w:r w:rsidR="00177E4E">
        <w:rPr>
          <w:rStyle w:val="FootnoteReference"/>
        </w:rPr>
        <w:footnoteReference w:id="18"/>
      </w:r>
    </w:p>
    <w:p w:rsidR="000F032E" w:rsidRDefault="00B56C78" w:rsidP="0089081A">
      <w:pPr>
        <w:pStyle w:val="Sources"/>
      </w:pPr>
      <w:r>
        <w:rPr>
          <w:noProof/>
          <w:snapToGrid/>
          <w:lang w:eastAsia="en-AU"/>
        </w:rPr>
        <w:drawing>
          <wp:inline distT="0" distB="0" distL="0" distR="0" wp14:anchorId="5B4FF72F" wp14:editId="25CABD10">
            <wp:extent cx="5570596" cy="2379407"/>
            <wp:effectExtent l="0" t="0" r="0" b="1905"/>
            <wp:docPr id="126" name="Picture 126" descr="Table 5 shows the top ten LGAs by total cumulative forecasted demand forecast between 2015 and 2025 (using the baseline scenario). In order from the highest demand LGA, they are:  Melbourne, Wyndham, Casey, Whittlesea, Melton, Hume, Greater Geelong, Cardinia, Moreland and Greater Dandenong. "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81483" cy="2384057"/>
                    </a:xfrm>
                    <a:prstGeom prst="rect">
                      <a:avLst/>
                    </a:prstGeom>
                  </pic:spPr>
                </pic:pic>
              </a:graphicData>
            </a:graphic>
          </wp:inline>
        </w:drawing>
      </w:r>
      <w:r w:rsidR="007331EA">
        <w:br/>
      </w:r>
      <w:r w:rsidR="00153243">
        <w:t xml:space="preserve">Source: EY, </w:t>
      </w:r>
      <w:r w:rsidR="00153243" w:rsidRPr="00DA49D3">
        <w:t>Demand analysis of extractive resources in Victoria</w:t>
      </w:r>
      <w:r w:rsidR="00153243">
        <w:t>, 2016</w:t>
      </w:r>
    </w:p>
    <w:p w:rsidR="000F032E" w:rsidRDefault="000F032E" w:rsidP="000F032E">
      <w:pPr>
        <w:pStyle w:val="PwCNormal"/>
      </w:pPr>
      <w:r>
        <w:t>The picture is largely similar for the sec</w:t>
      </w:r>
      <w:r w:rsidR="001E6A50">
        <w:t>ond half of the analysis period. The top ten LGAs ranked by total demand across 2026</w:t>
      </w:r>
      <w:r w:rsidR="006925D6">
        <w:t xml:space="preserve"> to 20</w:t>
      </w:r>
      <w:r w:rsidR="001E6A50">
        <w:t xml:space="preserve">50 in the baseline demand scenario are shown in </w:t>
      </w:r>
      <w:r w:rsidR="001E6A50">
        <w:fldChar w:fldCharType="begin"/>
      </w:r>
      <w:r w:rsidR="001E6A50">
        <w:instrText xml:space="preserve"> REF _Ref445637090 \h </w:instrText>
      </w:r>
      <w:r w:rsidR="001E6A50">
        <w:fldChar w:fldCharType="separate"/>
      </w:r>
      <w:r w:rsidR="00E22E13">
        <w:t xml:space="preserve">Table </w:t>
      </w:r>
      <w:r w:rsidR="00E22E13">
        <w:rPr>
          <w:noProof/>
        </w:rPr>
        <w:t>6</w:t>
      </w:r>
      <w:r w:rsidR="001E6A50">
        <w:fldChar w:fldCharType="end"/>
      </w:r>
      <w:r w:rsidR="001E6A50">
        <w:t>.</w:t>
      </w:r>
    </w:p>
    <w:p w:rsidR="000F032E" w:rsidRDefault="000F032E" w:rsidP="00200EF1">
      <w:pPr>
        <w:pStyle w:val="Caption"/>
      </w:pPr>
      <w:bookmarkStart w:id="99" w:name="_Ref445637090"/>
      <w:r>
        <w:t xml:space="preserve">Table </w:t>
      </w:r>
      <w:fldSimple w:instr=" SEQ Table \* ARABIC ">
        <w:r w:rsidR="00E22E13">
          <w:rPr>
            <w:noProof/>
          </w:rPr>
          <w:t>6</w:t>
        </w:r>
      </w:fldSimple>
      <w:bookmarkEnd w:id="99"/>
      <w:r>
        <w:t xml:space="preserve">: Demand forecast (baseline) - Top ten LGAs by total resource demand, </w:t>
      </w:r>
      <w:r w:rsidR="00BF0B9E">
        <w:t xml:space="preserve">cumulative </w:t>
      </w:r>
      <w:r>
        <w:t>2026</w:t>
      </w:r>
      <w:r w:rsidR="006925D6">
        <w:t xml:space="preserve"> to 20</w:t>
      </w:r>
      <w:r>
        <w:t>50</w:t>
      </w:r>
    </w:p>
    <w:p w:rsidR="000F032E" w:rsidRDefault="000F032E" w:rsidP="0089081A">
      <w:pPr>
        <w:pStyle w:val="Sources"/>
      </w:pPr>
      <w:r>
        <w:rPr>
          <w:noProof/>
          <w:snapToGrid/>
          <w:lang w:eastAsia="en-AU"/>
        </w:rPr>
        <w:drawing>
          <wp:inline distT="0" distB="0" distL="0" distR="0" wp14:anchorId="59D95F25" wp14:editId="0323F672">
            <wp:extent cx="5575654" cy="2379780"/>
            <wp:effectExtent l="0" t="0" r="6350" b="1905"/>
            <wp:docPr id="15360" name="Picture 15360" descr="Table 6 shows the top ten LGAs by total cumulative forecasted demand forecast between 2026 and 2050 (using the baseline scenario). In order from the highest demand LGA, they are:  Melbourne, Wyndham, Melton,  Casey, Hume, Whittlesea, Greater Geelong, Greater Dandenong, Moreland, and Cardinia."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09516" cy="2394233"/>
                    </a:xfrm>
                    <a:prstGeom prst="rect">
                      <a:avLst/>
                    </a:prstGeom>
                  </pic:spPr>
                </pic:pic>
              </a:graphicData>
            </a:graphic>
          </wp:inline>
        </w:drawing>
      </w:r>
      <w:r w:rsidR="007331EA">
        <w:br/>
      </w:r>
      <w:r w:rsidR="001E6A50">
        <w:t xml:space="preserve">Source: EY, </w:t>
      </w:r>
      <w:r w:rsidR="001E6A50" w:rsidRPr="00DA49D3">
        <w:t>Demand analysis of extractive resources in Victoria</w:t>
      </w:r>
      <w:r w:rsidR="001E6A50">
        <w:t>, 2016</w:t>
      </w:r>
    </w:p>
    <w:p w:rsidR="00D7274D" w:rsidRDefault="009C3F7F">
      <w:pPr>
        <w:pStyle w:val="PwCNormal"/>
        <w:sectPr w:rsidR="00D7274D" w:rsidSect="001A7D05">
          <w:pgSz w:w="11907" w:h="16840" w:code="9"/>
          <w:pgMar w:top="1588" w:right="1843" w:bottom="1418" w:left="1843" w:header="567" w:footer="567" w:gutter="0"/>
          <w:cols w:space="227"/>
          <w:docGrid w:linePitch="360"/>
        </w:sectPr>
      </w:pPr>
      <w:r>
        <w:fldChar w:fldCharType="begin"/>
      </w:r>
      <w:r>
        <w:instrText xml:space="preserve"> REF _Ref448244530 \h </w:instrText>
      </w:r>
      <w:r>
        <w:fldChar w:fldCharType="separate"/>
      </w:r>
      <w:r w:rsidR="00E22E13">
        <w:t xml:space="preserve">Figure </w:t>
      </w:r>
      <w:r w:rsidR="00E22E13">
        <w:rPr>
          <w:noProof/>
        </w:rPr>
        <w:t>9</w:t>
      </w:r>
      <w:r>
        <w:fldChar w:fldCharType="end"/>
      </w:r>
      <w:r>
        <w:t xml:space="preserve"> and </w:t>
      </w:r>
      <w:r>
        <w:fldChar w:fldCharType="begin"/>
      </w:r>
      <w:r>
        <w:instrText xml:space="preserve"> REF _Ref448244539 \h </w:instrText>
      </w:r>
      <w:r>
        <w:fldChar w:fldCharType="separate"/>
      </w:r>
      <w:r w:rsidR="00E22E13">
        <w:t xml:space="preserve">Figure </w:t>
      </w:r>
      <w:r w:rsidR="00E22E13">
        <w:rPr>
          <w:noProof/>
        </w:rPr>
        <w:t>10</w:t>
      </w:r>
      <w:r>
        <w:fldChar w:fldCharType="end"/>
      </w:r>
      <w:r>
        <w:t xml:space="preserve"> illustrate the total level of demand for extractive resources by LGA over the periods 2015</w:t>
      </w:r>
      <w:r w:rsidR="006925D6">
        <w:t xml:space="preserve"> to 20</w:t>
      </w:r>
      <w:r>
        <w:t>25 and 2026</w:t>
      </w:r>
      <w:r w:rsidR="006925D6">
        <w:t xml:space="preserve"> to 20</w:t>
      </w:r>
      <w:r>
        <w:t xml:space="preserve">50 respectively. </w:t>
      </w:r>
    </w:p>
    <w:p w:rsidR="002F1238" w:rsidRDefault="002F1238" w:rsidP="00C625A5">
      <w:pPr>
        <w:pStyle w:val="Caption"/>
      </w:pPr>
      <w:bookmarkStart w:id="100" w:name="_Ref448244530"/>
      <w:r>
        <w:t xml:space="preserve">Figure </w:t>
      </w:r>
      <w:fldSimple w:instr=" SEQ Figure \* ARABIC ">
        <w:r w:rsidR="00E22E13">
          <w:rPr>
            <w:noProof/>
          </w:rPr>
          <w:t>9</w:t>
        </w:r>
      </w:fldSimple>
      <w:bookmarkEnd w:id="100"/>
      <w:r>
        <w:t>: Total demand for extractive resources by LGA over the period 2015</w:t>
      </w:r>
      <w:r w:rsidR="006925D6">
        <w:t xml:space="preserve"> to 20</w:t>
      </w:r>
      <w:r>
        <w:t>25</w:t>
      </w:r>
    </w:p>
    <w:p w:rsidR="002F1238" w:rsidRDefault="002F1238" w:rsidP="002F1238">
      <w:pPr>
        <w:pStyle w:val="Sources"/>
      </w:pPr>
      <w:r>
        <w:rPr>
          <w:noProof/>
          <w:snapToGrid/>
          <w:lang w:eastAsia="en-AU"/>
        </w:rPr>
        <w:drawing>
          <wp:inline distT="0" distB="0" distL="0" distR="0" wp14:anchorId="169B4E34" wp14:editId="5F13D1E4">
            <wp:extent cx="6179800" cy="4625266"/>
            <wp:effectExtent l="0" t="0" r="0" b="4445"/>
            <wp:docPr id="15399" name="Picture 15399" descr="Figure 9 shows a map of LGAS highlighted by their forecasted demdaned from the period 2015 to 2025. The LGAs with the most demand are Melbourne, Casey, Wyndham and Whittlesea.&#10;&#10;"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82085" cy="4626976"/>
                    </a:xfrm>
                    <a:prstGeom prst="rect">
                      <a:avLst/>
                    </a:prstGeom>
                  </pic:spPr>
                </pic:pic>
              </a:graphicData>
            </a:graphic>
          </wp:inline>
        </w:drawing>
      </w:r>
      <w:r w:rsidRPr="002F1238">
        <w:t xml:space="preserve"> </w:t>
      </w:r>
      <w:r w:rsidR="007331EA">
        <w:br/>
      </w:r>
      <w:r>
        <w:t>Source: EY</w:t>
      </w:r>
      <w:r w:rsidRPr="0089081A">
        <w:t>, Demand analysis of extractive resources in Victoria</w:t>
      </w:r>
      <w:r>
        <w:t>, 2016</w:t>
      </w:r>
    </w:p>
    <w:p w:rsidR="0070467B" w:rsidRDefault="0070467B" w:rsidP="00C625A5">
      <w:pPr>
        <w:pStyle w:val="Caption"/>
      </w:pPr>
      <w:bookmarkStart w:id="101" w:name="_Ref448244539"/>
      <w:r>
        <w:t xml:space="preserve">Figure </w:t>
      </w:r>
      <w:fldSimple w:instr=" SEQ Figure \* ARABIC ">
        <w:r w:rsidR="00E22E13">
          <w:rPr>
            <w:noProof/>
          </w:rPr>
          <w:t>10</w:t>
        </w:r>
      </w:fldSimple>
      <w:bookmarkEnd w:id="101"/>
      <w:r>
        <w:t xml:space="preserve">: </w:t>
      </w:r>
      <w:r w:rsidRPr="00555C52">
        <w:t xml:space="preserve"> Total demand for extractive resource</w:t>
      </w:r>
      <w:r>
        <w:t>s by LGA over the period 2026</w:t>
      </w:r>
      <w:r w:rsidR="006925D6">
        <w:t xml:space="preserve"> to 20</w:t>
      </w:r>
      <w:r>
        <w:t>50</w:t>
      </w:r>
    </w:p>
    <w:p w:rsidR="002F1238" w:rsidRPr="00C625A5" w:rsidRDefault="002F1238">
      <w:pPr>
        <w:pStyle w:val="Sources"/>
      </w:pPr>
      <w:r>
        <w:rPr>
          <w:noProof/>
          <w:snapToGrid/>
          <w:lang w:eastAsia="en-AU"/>
        </w:rPr>
        <w:drawing>
          <wp:inline distT="0" distB="0" distL="0" distR="0" wp14:anchorId="5361F81D" wp14:editId="70786053">
            <wp:extent cx="6294268" cy="4731461"/>
            <wp:effectExtent l="0" t="0" r="0" b="0"/>
            <wp:docPr id="15401" name="Picture 15401" descr="Figure 10 shows a map of LGAS highlighted by their forecasted demdaned from the period 2026 to 2050. The LGAs with the most demand are Melbourne and Wyndham."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94661" cy="4731756"/>
                    </a:xfrm>
                    <a:prstGeom prst="rect">
                      <a:avLst/>
                    </a:prstGeom>
                  </pic:spPr>
                </pic:pic>
              </a:graphicData>
            </a:graphic>
          </wp:inline>
        </w:drawing>
      </w:r>
      <w:r w:rsidR="0070467B" w:rsidRPr="0070467B">
        <w:t xml:space="preserve"> </w:t>
      </w:r>
      <w:r w:rsidR="007331EA">
        <w:br/>
      </w:r>
      <w:r w:rsidR="0070467B">
        <w:t>Source: EY</w:t>
      </w:r>
      <w:r w:rsidR="0070467B" w:rsidRPr="0089081A">
        <w:t>, Demand analysis of extractive resources in Victoria</w:t>
      </w:r>
      <w:r w:rsidR="0070467B">
        <w:t>, 2016</w:t>
      </w:r>
    </w:p>
    <w:p w:rsidR="00077054" w:rsidRDefault="00077054" w:rsidP="00E060CE">
      <w:pPr>
        <w:pStyle w:val="Heading7"/>
      </w:pPr>
      <w:r>
        <w:t>Demand drivers in Victoria</w:t>
      </w:r>
    </w:p>
    <w:p w:rsidR="00077054" w:rsidRDefault="00077054" w:rsidP="00077054">
      <w:pPr>
        <w:pStyle w:val="PwCNormal"/>
      </w:pPr>
      <w:r>
        <w:t>The demand forecasts were split into three categories under the base case scenario, which comprised extractive resource demand related to:</w:t>
      </w:r>
    </w:p>
    <w:p w:rsidR="00077054" w:rsidRDefault="00077054" w:rsidP="00077054">
      <w:pPr>
        <w:pStyle w:val="ListBullet"/>
        <w:numPr>
          <w:ilvl w:val="0"/>
          <w:numId w:val="75"/>
        </w:numPr>
      </w:pPr>
      <w:r>
        <w:t>wind farm construction</w:t>
      </w:r>
    </w:p>
    <w:p w:rsidR="00077054" w:rsidRDefault="00077054" w:rsidP="00077054">
      <w:pPr>
        <w:pStyle w:val="ListBullet"/>
        <w:numPr>
          <w:ilvl w:val="0"/>
          <w:numId w:val="75"/>
        </w:numPr>
      </w:pPr>
      <w:r>
        <w:t>engineering construction</w:t>
      </w:r>
    </w:p>
    <w:p w:rsidR="00077054" w:rsidRDefault="00077054" w:rsidP="00077054">
      <w:pPr>
        <w:pStyle w:val="ListBullet"/>
        <w:numPr>
          <w:ilvl w:val="0"/>
          <w:numId w:val="75"/>
        </w:numPr>
      </w:pPr>
      <w:r>
        <w:t>residential and commercial construction.</w:t>
      </w:r>
    </w:p>
    <w:p w:rsidR="00077054" w:rsidRDefault="00077054" w:rsidP="00077054">
      <w:pPr>
        <w:pStyle w:val="PwCNormal"/>
      </w:pPr>
      <w:r>
        <w:t xml:space="preserve">Residential and commercial construction are the largest drivers of demand, comprising close to 80 per cent of total extractives demand across the analysis period. Engineering construction contributes approximately 20 per cent to total demand, with wind farm demand representing less than one per cent. </w:t>
      </w:r>
    </w:p>
    <w:p w:rsidR="00B21C81" w:rsidRDefault="00B21C81" w:rsidP="00B21C81">
      <w:pPr>
        <w:pStyle w:val="Heading7"/>
      </w:pPr>
      <w:r>
        <w:t>High</w:t>
      </w:r>
      <w:r w:rsidR="00BA291D">
        <w:t xml:space="preserve"> demand</w:t>
      </w:r>
      <w:r>
        <w:t xml:space="preserve"> scenario</w:t>
      </w:r>
      <w:r w:rsidR="004B08E8">
        <w:t xml:space="preserve"> 1</w:t>
      </w:r>
      <w:r w:rsidR="00BA291D">
        <w:t>A</w:t>
      </w:r>
      <w:r w:rsidR="00114224">
        <w:t xml:space="preserve"> and Low demand scenario 2A</w:t>
      </w:r>
    </w:p>
    <w:p w:rsidR="00B21C81" w:rsidRDefault="004B08E8" w:rsidP="00B21C81">
      <w:pPr>
        <w:pStyle w:val="PwCNormal"/>
      </w:pPr>
      <w:r>
        <w:t>Scenario 1</w:t>
      </w:r>
      <w:r w:rsidR="00CC0602">
        <w:t>A</w:t>
      </w:r>
      <w:r>
        <w:t xml:space="preserve"> </w:t>
      </w:r>
      <w:r w:rsidR="00817C85">
        <w:t xml:space="preserve">relates to the application of a </w:t>
      </w:r>
      <w:r>
        <w:t xml:space="preserve">20 per cent </w:t>
      </w:r>
      <w:r w:rsidR="00817C85">
        <w:t xml:space="preserve">increase </w:t>
      </w:r>
      <w:r>
        <w:t xml:space="preserve">on government projections driving the demand for extractive resources. </w:t>
      </w:r>
      <w:r w:rsidR="00817C85">
        <w:t xml:space="preserve">This strategy implies increased </w:t>
      </w:r>
      <w:r>
        <w:t>population and</w:t>
      </w:r>
      <w:r w:rsidR="00611035">
        <w:t xml:space="preserve"> </w:t>
      </w:r>
      <w:r w:rsidR="009069AC">
        <w:t>GSP</w:t>
      </w:r>
      <w:r>
        <w:t xml:space="preserve"> projections by 20 per cent</w:t>
      </w:r>
      <w:r w:rsidR="00E37BF9">
        <w:t>,</w:t>
      </w:r>
      <w:r>
        <w:t xml:space="preserve"> </w:t>
      </w:r>
      <w:r w:rsidR="00817C85">
        <w:t xml:space="preserve">while holding </w:t>
      </w:r>
      <w:r>
        <w:t xml:space="preserve">land use patterns in line with current projections. </w:t>
      </w:r>
    </w:p>
    <w:p w:rsidR="00CC0602" w:rsidRDefault="00817C85" w:rsidP="00B21C81">
      <w:pPr>
        <w:pStyle w:val="PwCNormal"/>
      </w:pPr>
      <w:r>
        <w:t xml:space="preserve">Under this scenario, the demand study assumes </w:t>
      </w:r>
      <w:r w:rsidR="00CC0602">
        <w:t xml:space="preserve">that the 20 per cent increase in </w:t>
      </w:r>
      <w:r>
        <w:t xml:space="preserve">these projections </w:t>
      </w:r>
      <w:r w:rsidR="00CC0602">
        <w:t xml:space="preserve">would result in a 20 per cent increase in construction activities, which would then flow through to a 20 per cent increase in </w:t>
      </w:r>
      <w:r>
        <w:t>demand for extractives</w:t>
      </w:r>
      <w:r w:rsidR="00CC0602">
        <w:t xml:space="preserve">. </w:t>
      </w:r>
    </w:p>
    <w:p w:rsidR="004B08E8" w:rsidRDefault="004B08E8" w:rsidP="00B21C81">
      <w:pPr>
        <w:pStyle w:val="PwCNormal"/>
      </w:pPr>
      <w:r>
        <w:t xml:space="preserve">The impacts of these assumptions relative to the baseline scenario are depicted in </w:t>
      </w:r>
      <w:r w:rsidR="00CC0602">
        <w:fldChar w:fldCharType="begin"/>
      </w:r>
      <w:r w:rsidR="00CC0602">
        <w:instrText xml:space="preserve"> REF _Ref444530467 \h </w:instrText>
      </w:r>
      <w:r w:rsidR="00CC0602">
        <w:fldChar w:fldCharType="separate"/>
      </w:r>
      <w:r w:rsidR="00E22E13">
        <w:t xml:space="preserve">Figure </w:t>
      </w:r>
      <w:r w:rsidR="00E22E13">
        <w:rPr>
          <w:noProof/>
        </w:rPr>
        <w:t>11</w:t>
      </w:r>
      <w:r w:rsidR="00CC0602">
        <w:fldChar w:fldCharType="end"/>
      </w:r>
      <w:r w:rsidR="00CC0602">
        <w:t xml:space="preserve">. </w:t>
      </w:r>
    </w:p>
    <w:p w:rsidR="00CC0602" w:rsidRDefault="00CC0602" w:rsidP="00CC0602">
      <w:pPr>
        <w:pStyle w:val="Caption"/>
      </w:pPr>
      <w:bookmarkStart w:id="102" w:name="_Ref444530467"/>
      <w:r>
        <w:t xml:space="preserve">Figure </w:t>
      </w:r>
      <w:fldSimple w:instr=" SEQ Figure \* ARABIC ">
        <w:r w:rsidR="00E22E13">
          <w:rPr>
            <w:noProof/>
          </w:rPr>
          <w:t>11</w:t>
        </w:r>
      </w:fldSimple>
      <w:bookmarkEnd w:id="102"/>
      <w:r>
        <w:t xml:space="preserve">: </w:t>
      </w:r>
      <w:r w:rsidRPr="009653B3">
        <w:t>Total extractive resource demand 2015</w:t>
      </w:r>
      <w:r w:rsidR="006925D6">
        <w:t xml:space="preserve"> to 20</w:t>
      </w:r>
      <w:r w:rsidRPr="009653B3">
        <w:t>50 - Baseline vs Scenario 1A</w:t>
      </w:r>
      <w:r>
        <w:t>*</w:t>
      </w:r>
    </w:p>
    <w:p w:rsidR="00BA291D" w:rsidRDefault="001E6A50" w:rsidP="006916CE">
      <w:pPr>
        <w:pStyle w:val="Sources"/>
      </w:pPr>
      <w:r>
        <w:rPr>
          <w:noProof/>
          <w:snapToGrid/>
          <w:lang w:eastAsia="en-AU"/>
        </w:rPr>
        <w:drawing>
          <wp:inline distT="0" distB="0" distL="0" distR="0" wp14:anchorId="09293785" wp14:editId="0D43960D">
            <wp:extent cx="6886800" cy="2370648"/>
            <wp:effectExtent l="0" t="0" r="0" b="0"/>
            <wp:docPr id="15361" name="Picture 15361" descr="Figure 11 compares total extractive resource demand 2015 to 2050 under the baseline scenario and scenario 1A.  It shows that demand under scenario 1A is greater than baseline across all of Victoria. "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886800" cy="2370648"/>
                    </a:xfrm>
                    <a:prstGeom prst="rect">
                      <a:avLst/>
                    </a:prstGeom>
                  </pic:spPr>
                </pic:pic>
              </a:graphicData>
            </a:graphic>
          </wp:inline>
        </w:drawing>
      </w:r>
      <w:r w:rsidR="007331EA">
        <w:br/>
      </w:r>
      <w:r w:rsidR="008517C7">
        <w:br/>
        <w:t>Source: EY</w:t>
      </w:r>
      <w:r w:rsidR="008517C7" w:rsidRPr="0089081A">
        <w:rPr>
          <w:i/>
        </w:rPr>
        <w:t>, Demand analysis of extractive resources in Victoria</w:t>
      </w:r>
      <w:r w:rsidR="008517C7">
        <w:t>, 2016. *In the Demand analysis, EY has indicated that steps in the forecast are related to population data and average annual growth rates provided by Government projections used in the forecast approach.</w:t>
      </w:r>
    </w:p>
    <w:p w:rsidR="00BA291D" w:rsidRDefault="00114224" w:rsidP="00BA291D">
      <w:pPr>
        <w:pStyle w:val="PwCNormal"/>
      </w:pPr>
      <w:r>
        <w:t xml:space="preserve">Scenario 2A </w:t>
      </w:r>
      <w:r w:rsidR="00BA291D">
        <w:t>consists of assessing the impacts of a 20 per cent decrease in the government projections driving extractive resource demand in Victoria</w:t>
      </w:r>
      <w:r>
        <w:t xml:space="preserve">. </w:t>
      </w:r>
      <w:r w:rsidR="00BA291D" w:rsidRPr="00BA291D">
        <w:t xml:space="preserve">The impact of the scenario 2A </w:t>
      </w:r>
      <w:r w:rsidR="00AA7952">
        <w:t xml:space="preserve">relative to </w:t>
      </w:r>
      <w:r w:rsidR="00BA291D" w:rsidRPr="00BA291D">
        <w:t>the Baseline demand forecast is presented</w:t>
      </w:r>
      <w:r w:rsidR="00BA291D">
        <w:t xml:space="preserve"> below in </w:t>
      </w:r>
      <w:r w:rsidR="00AA7952">
        <w:fldChar w:fldCharType="begin"/>
      </w:r>
      <w:r w:rsidR="00AA7952">
        <w:instrText xml:space="preserve"> REF _Ref445469380 \h </w:instrText>
      </w:r>
      <w:r w:rsidR="00AA7952">
        <w:fldChar w:fldCharType="separate"/>
      </w:r>
      <w:r w:rsidR="00E22E13">
        <w:t xml:space="preserve">Figure </w:t>
      </w:r>
      <w:r w:rsidR="00E22E13">
        <w:rPr>
          <w:noProof/>
        </w:rPr>
        <w:t>12</w:t>
      </w:r>
      <w:r w:rsidR="00AA7952">
        <w:fldChar w:fldCharType="end"/>
      </w:r>
      <w:r w:rsidR="00AA7952">
        <w:t>.</w:t>
      </w:r>
    </w:p>
    <w:p w:rsidR="00BA291D" w:rsidRDefault="00BA291D" w:rsidP="00BA291D">
      <w:pPr>
        <w:pStyle w:val="Caption"/>
      </w:pPr>
      <w:bookmarkStart w:id="103" w:name="_Ref445469380"/>
      <w:r>
        <w:t xml:space="preserve">Figure </w:t>
      </w:r>
      <w:fldSimple w:instr=" SEQ Figure \* ARABIC ">
        <w:r w:rsidR="00E22E13">
          <w:rPr>
            <w:noProof/>
          </w:rPr>
          <w:t>12</w:t>
        </w:r>
      </w:fldSimple>
      <w:bookmarkEnd w:id="103"/>
      <w:r>
        <w:t>: Total demand</w:t>
      </w:r>
      <w:r w:rsidR="00CB10A4">
        <w:t xml:space="preserve"> for extractive resources 2015</w:t>
      </w:r>
      <w:r w:rsidR="006925D6">
        <w:t xml:space="preserve"> to 20</w:t>
      </w:r>
      <w:r w:rsidR="00CB10A4">
        <w:t>5</w:t>
      </w:r>
      <w:r>
        <w:t>0 - Baseline vs Scenario 2A*</w:t>
      </w:r>
    </w:p>
    <w:p w:rsidR="00BA291D" w:rsidRDefault="001E6A50" w:rsidP="0089081A">
      <w:pPr>
        <w:pStyle w:val="Sources"/>
      </w:pPr>
      <w:r>
        <w:rPr>
          <w:noProof/>
          <w:snapToGrid/>
          <w:lang w:eastAsia="en-AU"/>
        </w:rPr>
        <w:drawing>
          <wp:inline distT="0" distB="0" distL="0" distR="0" wp14:anchorId="2B31C1AE" wp14:editId="2EDFED94">
            <wp:extent cx="6906827" cy="2544309"/>
            <wp:effectExtent l="0" t="0" r="0" b="8890"/>
            <wp:docPr id="15362" name="Picture 15362" descr="Figure 12  compares total extractive resource demand 2015 to 2050 under the baseline scenario and scenario 2A.  It shows that demand under scenario 2A is less than baseline across all of Victoria. &#10;&#10;"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907178" cy="2544438"/>
                    </a:xfrm>
                    <a:prstGeom prst="rect">
                      <a:avLst/>
                    </a:prstGeom>
                  </pic:spPr>
                </pic:pic>
              </a:graphicData>
            </a:graphic>
          </wp:inline>
        </w:drawing>
      </w:r>
      <w:r w:rsidR="007331EA">
        <w:br/>
      </w:r>
      <w:r w:rsidR="008517C7">
        <w:br/>
        <w:t>Source: EY</w:t>
      </w:r>
      <w:r w:rsidR="008517C7" w:rsidRPr="0089081A">
        <w:rPr>
          <w:i/>
        </w:rPr>
        <w:t>, Demand analysis of extractive resources in Victoria</w:t>
      </w:r>
      <w:r w:rsidR="008517C7">
        <w:t>, 2016. *In the Demand analysis, EY has indicated that steps in the forecast are related to population data and average annual growth rates provided by Government projections used in the forecast approach.</w:t>
      </w:r>
    </w:p>
    <w:p w:rsidR="00786D9A" w:rsidRDefault="00786D9A" w:rsidP="0089081A">
      <w:pPr>
        <w:pStyle w:val="Heading7"/>
      </w:pPr>
      <w:r>
        <w:t>Demand scenario</w:t>
      </w:r>
      <w:r w:rsidR="006C10BC">
        <w:t>s</w:t>
      </w:r>
      <w:r>
        <w:t xml:space="preserve"> 3A</w:t>
      </w:r>
      <w:r w:rsidR="006C10BC">
        <w:t xml:space="preserve"> and 3B</w:t>
      </w:r>
      <w:r>
        <w:t xml:space="preserve">: </w:t>
      </w:r>
      <w:r w:rsidR="00AA7952">
        <w:t>R</w:t>
      </w:r>
      <w:r>
        <w:t>edistribution of demand</w:t>
      </w:r>
    </w:p>
    <w:p w:rsidR="00786D9A" w:rsidRDefault="00786D9A" w:rsidP="00786D9A">
      <w:pPr>
        <w:pStyle w:val="PwCNormal"/>
      </w:pPr>
      <w:r w:rsidRPr="00786D9A">
        <w:t xml:space="preserve">Scenario 3A </w:t>
      </w:r>
      <w:r w:rsidR="00AF2B64">
        <w:t>assesses</w:t>
      </w:r>
      <w:r w:rsidRPr="00786D9A">
        <w:t xml:space="preserve"> the impact</w:t>
      </w:r>
      <w:r w:rsidR="00AF2B64">
        <w:t>s</w:t>
      </w:r>
      <w:r w:rsidRPr="00786D9A">
        <w:t xml:space="preserve"> of </w:t>
      </w:r>
      <w:r w:rsidR="00AF2B64">
        <w:t xml:space="preserve">greater </w:t>
      </w:r>
      <w:r w:rsidRPr="00786D9A">
        <w:t xml:space="preserve">infill development </w:t>
      </w:r>
      <w:r w:rsidR="00AF2B64">
        <w:t>relative to the baseline scenario</w:t>
      </w:r>
      <w:r w:rsidRPr="00786D9A">
        <w:t xml:space="preserve">, therefore resulting in a redistribution of the demand for extractive resources </w:t>
      </w:r>
      <w:r>
        <w:t xml:space="preserve">towards those LGAs identified as urban infill (refer to Appendix B of the Demand Report </w:t>
      </w:r>
      <w:r w:rsidRPr="00DD42BF">
        <w:t xml:space="preserve">presented in </w:t>
      </w:r>
      <w:r w:rsidR="00383078">
        <w:t>Appendix F</w:t>
      </w:r>
      <w:r w:rsidR="006C10BC">
        <w:t xml:space="preserve"> </w:t>
      </w:r>
      <w:r>
        <w:t xml:space="preserve">of this report for a classification of LGAs).  </w:t>
      </w:r>
    </w:p>
    <w:p w:rsidR="00786D9A" w:rsidRDefault="00AF2B64" w:rsidP="00786D9A">
      <w:pPr>
        <w:pStyle w:val="PwCNormal"/>
      </w:pPr>
      <w:r>
        <w:t xml:space="preserve">The aggregate level of demand under this scenario is </w:t>
      </w:r>
      <w:r w:rsidR="00D54F35">
        <w:t xml:space="preserve">not significantly different </w:t>
      </w:r>
      <w:r>
        <w:t>to that under the baseline. Within Scenario 3A the demand</w:t>
      </w:r>
      <w:r w:rsidR="00786D9A" w:rsidRPr="00786D9A">
        <w:t xml:space="preserve"> </w:t>
      </w:r>
      <w:r>
        <w:t xml:space="preserve">within LGAs identified as </w:t>
      </w:r>
      <w:r w:rsidR="00786D9A" w:rsidRPr="00786D9A">
        <w:t>urban growth areas</w:t>
      </w:r>
      <w:r>
        <w:t xml:space="preserve"> was reduced relative to baseline levels to allow for the redistribution to urban infill LGAs to occur.</w:t>
      </w:r>
    </w:p>
    <w:p w:rsidR="00786D9A" w:rsidRDefault="00786D9A" w:rsidP="00786D9A">
      <w:pPr>
        <w:pStyle w:val="PwCNormal"/>
      </w:pPr>
      <w:r w:rsidRPr="00786D9A">
        <w:t xml:space="preserve">The impact of </w:t>
      </w:r>
      <w:r>
        <w:t>scenario</w:t>
      </w:r>
      <w:r w:rsidRPr="00786D9A">
        <w:t xml:space="preserve"> 3A agains</w:t>
      </w:r>
      <w:r>
        <w:t xml:space="preserve">t the Baseline demand forecast is presented in </w:t>
      </w:r>
      <w:r>
        <w:fldChar w:fldCharType="begin"/>
      </w:r>
      <w:r>
        <w:instrText xml:space="preserve"> REF _Ref444531991 \h </w:instrText>
      </w:r>
      <w:r>
        <w:fldChar w:fldCharType="separate"/>
      </w:r>
      <w:r w:rsidR="00E22E13">
        <w:t xml:space="preserve">Figure </w:t>
      </w:r>
      <w:r w:rsidR="00E22E13">
        <w:rPr>
          <w:noProof/>
        </w:rPr>
        <w:t>13</w:t>
      </w:r>
      <w:r>
        <w:fldChar w:fldCharType="end"/>
      </w:r>
      <w:r>
        <w:t xml:space="preserve"> below. </w:t>
      </w:r>
    </w:p>
    <w:p w:rsidR="00786D9A" w:rsidRDefault="00786D9A" w:rsidP="00786D9A">
      <w:pPr>
        <w:pStyle w:val="Caption"/>
      </w:pPr>
      <w:bookmarkStart w:id="104" w:name="_Ref444531991"/>
      <w:r>
        <w:t xml:space="preserve">Figure </w:t>
      </w:r>
      <w:fldSimple w:instr=" SEQ Figure \* ARABIC ">
        <w:r w:rsidR="00E22E13">
          <w:rPr>
            <w:noProof/>
          </w:rPr>
          <w:t>13</w:t>
        </w:r>
      </w:fldSimple>
      <w:bookmarkEnd w:id="104"/>
      <w:r>
        <w:t>: Total demand</w:t>
      </w:r>
      <w:r w:rsidR="00CB10A4">
        <w:t xml:space="preserve"> for extractive resources 2015</w:t>
      </w:r>
      <w:r w:rsidR="006925D6">
        <w:t xml:space="preserve"> to 20</w:t>
      </w:r>
      <w:r w:rsidR="00CB10A4">
        <w:t>5</w:t>
      </w:r>
      <w:r>
        <w:t>0 - Baseline vs Scenario 3A*</w:t>
      </w:r>
    </w:p>
    <w:p w:rsidR="00786D9A" w:rsidRDefault="001E6A50" w:rsidP="0089081A">
      <w:pPr>
        <w:pStyle w:val="Sources"/>
      </w:pPr>
      <w:r>
        <w:rPr>
          <w:noProof/>
          <w:snapToGrid/>
          <w:lang w:eastAsia="en-AU"/>
        </w:rPr>
        <w:drawing>
          <wp:inline distT="0" distB="0" distL="0" distR="0" wp14:anchorId="773A882B" wp14:editId="1B86DE2C">
            <wp:extent cx="7054318" cy="2574524"/>
            <wp:effectExtent l="0" t="0" r="0" b="0"/>
            <wp:docPr id="15363" name="Picture 15363" descr="Figure 13  compares total extractive resource demand 2015 to 2050 under the baseline scenario and scenario 3A.  It shows that total demand under scenario 3A is the same as baseline across all of Victoria. However,  demand under scenario 3A is greater than baseline in urban infill LGAs and less than baseline in urban growth areas. &#10;&#10;"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054676" cy="2574655"/>
                    </a:xfrm>
                    <a:prstGeom prst="rect">
                      <a:avLst/>
                    </a:prstGeom>
                  </pic:spPr>
                </pic:pic>
              </a:graphicData>
            </a:graphic>
          </wp:inline>
        </w:drawing>
      </w:r>
      <w:r w:rsidR="00786D9A" w:rsidRPr="00786D9A">
        <w:t xml:space="preserve"> </w:t>
      </w:r>
      <w:r w:rsidR="007331EA">
        <w:br/>
      </w:r>
      <w:r w:rsidR="008517C7">
        <w:br/>
        <w:t>Source: EY</w:t>
      </w:r>
      <w:r w:rsidR="008517C7" w:rsidRPr="0089081A">
        <w:rPr>
          <w:i/>
        </w:rPr>
        <w:t>, Demand analysis of extractive resources in Victoria</w:t>
      </w:r>
      <w:r w:rsidR="008517C7">
        <w:t>, 2016. *In the Demand analysis, EY has indicated that steps in the forecast are related to population data and average annual growth rates provided by Government projections used in the forecast approach.</w:t>
      </w:r>
    </w:p>
    <w:p w:rsidR="00AF2B64" w:rsidRDefault="00786D9A" w:rsidP="0089081A">
      <w:pPr>
        <w:pStyle w:val="PwCNormal"/>
      </w:pPr>
      <w:r w:rsidRPr="00786D9A">
        <w:t xml:space="preserve">Scenario 3B </w:t>
      </w:r>
      <w:r w:rsidR="00AF2B64">
        <w:t>considers</w:t>
      </w:r>
      <w:r w:rsidRPr="00786D9A">
        <w:t xml:space="preserve"> </w:t>
      </w:r>
      <w:r w:rsidR="00AF2B64">
        <w:t xml:space="preserve">greater </w:t>
      </w:r>
      <w:r w:rsidRPr="00786D9A">
        <w:t>development within urban growth areas</w:t>
      </w:r>
      <w:r w:rsidR="00AF2B64">
        <w:t xml:space="preserve">, which in this case is redistributed from urban infill LGAs. </w:t>
      </w:r>
    </w:p>
    <w:p w:rsidR="00786D9A" w:rsidRDefault="00786D9A" w:rsidP="0089081A">
      <w:pPr>
        <w:pStyle w:val="PwCNormal"/>
      </w:pPr>
      <w:r w:rsidRPr="00786D9A">
        <w:t>To allow the redistribution to urban growth areas, this scenario considered an increased residential development in those LGAs, involving an automatic decrease in residential development within urban infill LGAs.</w:t>
      </w:r>
    </w:p>
    <w:p w:rsidR="00786D9A" w:rsidRDefault="00786D9A" w:rsidP="00786D9A">
      <w:pPr>
        <w:pStyle w:val="Caption"/>
      </w:pPr>
      <w:r>
        <w:t xml:space="preserve">Figure </w:t>
      </w:r>
      <w:fldSimple w:instr=" SEQ Figure \* ARABIC ">
        <w:r w:rsidR="00E22E13">
          <w:rPr>
            <w:noProof/>
          </w:rPr>
          <w:t>14</w:t>
        </w:r>
      </w:fldSimple>
      <w:r>
        <w:t xml:space="preserve">: </w:t>
      </w:r>
      <w:r w:rsidRPr="002760EB">
        <w:t>Total demand for extractive resources 2</w:t>
      </w:r>
      <w:r w:rsidR="00B759B2">
        <w:t>015</w:t>
      </w:r>
      <w:r w:rsidR="006925D6">
        <w:t xml:space="preserve"> to 20</w:t>
      </w:r>
      <w:r w:rsidR="00B759B2">
        <w:t>5</w:t>
      </w:r>
      <w:r>
        <w:t>0 - Baseline vs Scenario 3B</w:t>
      </w:r>
      <w:r w:rsidRPr="002760EB">
        <w:t>*</w:t>
      </w:r>
    </w:p>
    <w:p w:rsidR="00965D64" w:rsidRDefault="001E6A50" w:rsidP="008517C7">
      <w:pPr>
        <w:pStyle w:val="Sources"/>
        <w:sectPr w:rsidR="00965D64" w:rsidSect="001A7D05">
          <w:pgSz w:w="16840" w:h="11907" w:orient="landscape" w:code="9"/>
          <w:pgMar w:top="1843" w:right="1588" w:bottom="1843" w:left="1418" w:header="567" w:footer="567" w:gutter="0"/>
          <w:cols w:space="227"/>
          <w:docGrid w:linePitch="360"/>
        </w:sectPr>
      </w:pPr>
      <w:r>
        <w:rPr>
          <w:noProof/>
          <w:snapToGrid/>
          <w:lang w:eastAsia="en-AU"/>
        </w:rPr>
        <w:drawing>
          <wp:inline distT="0" distB="0" distL="0" distR="0" wp14:anchorId="09E6C214" wp14:editId="74B03A60">
            <wp:extent cx="6951215" cy="2542838"/>
            <wp:effectExtent l="0" t="0" r="2540" b="0"/>
            <wp:docPr id="15365" name="Picture 15365" descr="Figure 14  compares total extractive resource demand 2015 to 2050 under the baseline scenario and scenario 3B.   It shows that total demand under scenario 3B is higher than baseline demand across all of Victoria.  Demand under scenario 3B is less than baseline in urban infill LGAs and greater than baseline in urban growth areas. &#10;&#10;"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954925" cy="2544195"/>
                    </a:xfrm>
                    <a:prstGeom prst="rect">
                      <a:avLst/>
                    </a:prstGeom>
                  </pic:spPr>
                </pic:pic>
              </a:graphicData>
            </a:graphic>
          </wp:inline>
        </w:drawing>
      </w:r>
      <w:r w:rsidR="00786D9A" w:rsidRPr="00786D9A">
        <w:t xml:space="preserve"> </w:t>
      </w:r>
      <w:r w:rsidR="007331EA">
        <w:br/>
      </w:r>
      <w:r w:rsidR="008517C7">
        <w:br/>
        <w:t>Source: EY</w:t>
      </w:r>
      <w:r w:rsidR="008517C7" w:rsidRPr="0089081A">
        <w:rPr>
          <w:i/>
        </w:rPr>
        <w:t>, Demand analysis of extractive resources in Victoria</w:t>
      </w:r>
      <w:r w:rsidR="008517C7">
        <w:t xml:space="preserve">, 2016. *In the Demand analysis, EY has indicated that steps in the forecast are related to population data and average annual growth rates provided by Government projections used in the forecast approach. </w:t>
      </w:r>
    </w:p>
    <w:p w:rsidR="00965D64" w:rsidRDefault="00190C2F" w:rsidP="00965D64">
      <w:pPr>
        <w:pStyle w:val="Heading2"/>
      </w:pPr>
      <w:bookmarkStart w:id="105" w:name="_Toc447628744"/>
      <w:bookmarkStart w:id="106" w:name="_Toc447630214"/>
      <w:bookmarkStart w:id="107" w:name="_Toc448153180"/>
      <w:bookmarkStart w:id="108" w:name="_Toc448917115"/>
      <w:bookmarkStart w:id="109" w:name="_Toc448924822"/>
      <w:bookmarkStart w:id="110" w:name="_Toc448925127"/>
      <w:bookmarkStart w:id="111" w:name="_Toc448935466"/>
      <w:bookmarkStart w:id="112" w:name="_Toc448936085"/>
      <w:bookmarkStart w:id="113" w:name="_Toc449603854"/>
      <w:bookmarkStart w:id="114" w:name="_Toc449603920"/>
      <w:bookmarkStart w:id="115" w:name="_Toc449949929"/>
      <w:bookmarkStart w:id="116" w:name="_Toc449960254"/>
      <w:bookmarkStart w:id="117" w:name="_Toc451239533"/>
      <w:bookmarkStart w:id="118" w:name="_Toc445905914"/>
      <w:bookmarkStart w:id="119" w:name="_Toc445906111"/>
      <w:bookmarkStart w:id="120" w:name="_Toc445973755"/>
      <w:r>
        <w:t>Integrated demand and</w:t>
      </w:r>
      <w:r w:rsidR="000E238D">
        <w:t xml:space="preserve"> supply</w:t>
      </w:r>
      <w:bookmarkEnd w:id="105"/>
      <w:bookmarkEnd w:id="106"/>
      <w:r w:rsidR="00C625A5">
        <w:t xml:space="preserve"> – high-level  findings</w:t>
      </w:r>
      <w:bookmarkEnd w:id="107"/>
      <w:bookmarkEnd w:id="108"/>
      <w:bookmarkEnd w:id="109"/>
      <w:bookmarkEnd w:id="110"/>
      <w:bookmarkEnd w:id="111"/>
      <w:bookmarkEnd w:id="112"/>
      <w:bookmarkEnd w:id="113"/>
      <w:bookmarkEnd w:id="114"/>
      <w:bookmarkEnd w:id="115"/>
      <w:bookmarkEnd w:id="116"/>
      <w:bookmarkEnd w:id="117"/>
      <w:r w:rsidR="00965D64">
        <w:t xml:space="preserve"> </w:t>
      </w:r>
      <w:bookmarkEnd w:id="118"/>
      <w:bookmarkEnd w:id="119"/>
      <w:bookmarkEnd w:id="120"/>
    </w:p>
    <w:p w:rsidR="007E3535" w:rsidRDefault="007E3535" w:rsidP="007E3535">
      <w:pPr>
        <w:pStyle w:val="PwCNormal"/>
      </w:pPr>
      <w:r>
        <w:t>The base case supply scenario integrates the set of findings from the detailed supply side data</w:t>
      </w:r>
      <w:r w:rsidR="008F68ED">
        <w:t>. It</w:t>
      </w:r>
      <w:r>
        <w:t xml:space="preserve"> examines the extractive industry’s future supply outcomes based on core assumptions and the expectations of demand for resources. </w:t>
      </w:r>
    </w:p>
    <w:p w:rsidR="00380F0E" w:rsidRDefault="008F68ED" w:rsidP="00AC6152">
      <w:pPr>
        <w:pStyle w:val="PwCNormal"/>
      </w:pPr>
      <w:r>
        <w:t xml:space="preserve">The analysis examines the </w:t>
      </w:r>
      <w:r w:rsidR="009069AC">
        <w:t>S</w:t>
      </w:r>
      <w:r>
        <w:t>tate-wide setting a</w:t>
      </w:r>
      <w:r w:rsidR="007E3535">
        <w:t>s a first step in integrating the demand and supply profiles of extractive resources across the 2015</w:t>
      </w:r>
      <w:r w:rsidR="006925D6">
        <w:t xml:space="preserve"> to </w:t>
      </w:r>
      <w:r w:rsidR="007E3535">
        <w:t>2025 and 20</w:t>
      </w:r>
      <w:r w:rsidR="006925D6">
        <w:t>2</w:t>
      </w:r>
      <w:r w:rsidR="007E3535">
        <w:t>6</w:t>
      </w:r>
      <w:r w:rsidR="006925D6">
        <w:t xml:space="preserve"> to </w:t>
      </w:r>
      <w:r w:rsidR="007E3535">
        <w:t xml:space="preserve">2050 time periods. </w:t>
      </w:r>
      <w:r w:rsidR="007E0DF1">
        <w:t xml:space="preserve">An </w:t>
      </w:r>
      <w:r w:rsidR="007E3535">
        <w:t>initial broad</w:t>
      </w:r>
      <w:r w:rsidR="007E0DF1">
        <w:t>-</w:t>
      </w:r>
      <w:r w:rsidR="007E3535">
        <w:t xml:space="preserve">brush </w:t>
      </w:r>
      <w:r w:rsidR="009069AC">
        <w:t xml:space="preserve">State </w:t>
      </w:r>
      <w:r w:rsidR="007E3535">
        <w:t xml:space="preserve">view provides </w:t>
      </w:r>
      <w:r w:rsidR="007E0DF1">
        <w:t xml:space="preserve">a </w:t>
      </w:r>
      <w:r w:rsidR="007E3535">
        <w:t xml:space="preserve">high level understanding of the industry’s state of play, before </w:t>
      </w:r>
      <w:r w:rsidR="007E0DF1">
        <w:t xml:space="preserve">diving </w:t>
      </w:r>
      <w:r w:rsidR="007E3535">
        <w:t xml:space="preserve">deeper into the locational nuances of the industry, including the importance of where quarries are located (current and planned) and </w:t>
      </w:r>
      <w:r w:rsidR="007E0DF1">
        <w:t xml:space="preserve">where individual </w:t>
      </w:r>
      <w:r w:rsidR="007E3535">
        <w:t>rock types are located</w:t>
      </w:r>
      <w:r w:rsidR="0087421E">
        <w:t>.</w:t>
      </w:r>
    </w:p>
    <w:p w:rsidR="00AD51FA" w:rsidRDefault="00B50EEB" w:rsidP="006916CE">
      <w:pPr>
        <w:pStyle w:val="Heading6"/>
      </w:pPr>
      <w:r>
        <w:t xml:space="preserve">State-wide </w:t>
      </w:r>
      <w:r w:rsidR="000E238D">
        <w:t xml:space="preserve">findings </w:t>
      </w:r>
      <w:r>
        <w:t xml:space="preserve">by </w:t>
      </w:r>
      <w:r w:rsidR="00BA20CD">
        <w:t>rock type</w:t>
      </w:r>
      <w:r w:rsidR="006F5B7F">
        <w:t xml:space="preserve"> </w:t>
      </w:r>
    </w:p>
    <w:p w:rsidR="00714525" w:rsidRDefault="00777E6C" w:rsidP="00777E6C">
      <w:pPr>
        <w:pStyle w:val="PwCNormal"/>
      </w:pPr>
      <w:r>
        <w:t xml:space="preserve">In 2050, there are 11 billion tonnes of extractive resources available in Victoria. This finding illustrates there </w:t>
      </w:r>
      <w:r w:rsidR="007C1FBB">
        <w:t xml:space="preserve">are </w:t>
      </w:r>
      <w:r w:rsidR="00190C2F">
        <w:t xml:space="preserve">broadly sufficient resources </w:t>
      </w:r>
      <w:r w:rsidR="00273107">
        <w:t xml:space="preserve">contained in </w:t>
      </w:r>
      <w:r w:rsidR="00190C2F">
        <w:t xml:space="preserve">current and future </w:t>
      </w:r>
      <w:r w:rsidR="007E0DF1">
        <w:t xml:space="preserve">planned </w:t>
      </w:r>
      <w:r w:rsidR="00190C2F">
        <w:t xml:space="preserve">WAs to satisfy </w:t>
      </w:r>
      <w:r w:rsidR="007E0DF1">
        <w:t xml:space="preserve">Victorian </w:t>
      </w:r>
      <w:r w:rsidR="00190C2F">
        <w:t>demand, ignoring locational differences, prices and transport costs within specific sub-regions and locations of Victoria.</w:t>
      </w:r>
    </w:p>
    <w:p w:rsidR="00190C2F" w:rsidRDefault="007E0DF1">
      <w:pPr>
        <w:pStyle w:val="PwCNormal"/>
      </w:pPr>
      <w:r>
        <w:t xml:space="preserve">These findings are summarised in </w:t>
      </w:r>
      <w:r>
        <w:fldChar w:fldCharType="begin"/>
      </w:r>
      <w:r>
        <w:instrText xml:space="preserve"> REF _Ref447782679 \h </w:instrText>
      </w:r>
      <w:r>
        <w:fldChar w:fldCharType="separate"/>
      </w:r>
      <w:r w:rsidR="00E22E13">
        <w:t xml:space="preserve">Table </w:t>
      </w:r>
      <w:r w:rsidR="00E22E13">
        <w:rPr>
          <w:noProof/>
        </w:rPr>
        <w:t>8</w:t>
      </w:r>
      <w:r>
        <w:fldChar w:fldCharType="end"/>
      </w:r>
      <w:r>
        <w:t>, which presents t</w:t>
      </w:r>
      <w:r w:rsidR="007E3535">
        <w:t>he cumulative demand levels for each considered rock type for the 2015</w:t>
      </w:r>
      <w:r w:rsidR="006925D6">
        <w:t xml:space="preserve"> to 20</w:t>
      </w:r>
      <w:r w:rsidR="007E3535">
        <w:t>25</w:t>
      </w:r>
      <w:r w:rsidR="00AD51FA">
        <w:t xml:space="preserve"> and 2026</w:t>
      </w:r>
      <w:r w:rsidR="006925D6">
        <w:t xml:space="preserve"> to 20</w:t>
      </w:r>
      <w:r w:rsidR="00AD51FA">
        <w:t>50</w:t>
      </w:r>
      <w:r w:rsidR="007E3535">
        <w:t xml:space="preserve"> period</w:t>
      </w:r>
      <w:r w:rsidR="00AD51FA">
        <w:t>s</w:t>
      </w:r>
      <w:r w:rsidR="007E3535">
        <w:t xml:space="preserve"> for the baseline scenario</w:t>
      </w:r>
      <w:r>
        <w:t xml:space="preserve">, along with demand for select specific years and remaining licensed reserves at 2050. </w:t>
      </w:r>
    </w:p>
    <w:p w:rsidR="003C0984" w:rsidRDefault="00114224" w:rsidP="003C0984">
      <w:pPr>
        <w:pStyle w:val="PwCNormal"/>
      </w:pPr>
      <w:r>
        <w:t xml:space="preserve">Industry data gathering undertaken in support of this analysis has identified intentions to </w:t>
      </w:r>
      <w:r w:rsidR="002A2A08">
        <w:t xml:space="preserve">license </w:t>
      </w:r>
      <w:r>
        <w:t>new resources of various sizes and types across the State. The modelling has incorporated expected production volumes and deposit depletion rates from these future WAs where relevant, based on the expected starting year as indicated by the respondent. Variations to existing WAs were modelled in a similar fashion.</w:t>
      </w:r>
      <w:r w:rsidR="003C0984" w:rsidRPr="003C0984">
        <w:t xml:space="preserve"> </w:t>
      </w:r>
      <w:r w:rsidR="00D041AE">
        <w:t xml:space="preserve">These different potential sources of future supply are described in </w:t>
      </w:r>
      <w:r w:rsidR="00D041AE">
        <w:fldChar w:fldCharType="begin"/>
      </w:r>
      <w:r w:rsidR="00D041AE">
        <w:instrText xml:space="preserve"> REF _Ref448930468 \h </w:instrText>
      </w:r>
      <w:r w:rsidR="00D041AE">
        <w:fldChar w:fldCharType="separate"/>
      </w:r>
      <w:r w:rsidR="00E22E13">
        <w:t xml:space="preserve">Table </w:t>
      </w:r>
      <w:r w:rsidR="00E22E13">
        <w:rPr>
          <w:noProof/>
        </w:rPr>
        <w:t>7</w:t>
      </w:r>
      <w:r w:rsidR="00D041AE">
        <w:fldChar w:fldCharType="end"/>
      </w:r>
      <w:r w:rsidR="00D041AE">
        <w:t xml:space="preserve">. </w:t>
      </w:r>
    </w:p>
    <w:p w:rsidR="003C0984" w:rsidRDefault="003C0984" w:rsidP="006916CE">
      <w:pPr>
        <w:pStyle w:val="Caption"/>
      </w:pPr>
      <w:bookmarkStart w:id="121" w:name="_Ref448930468"/>
      <w:r>
        <w:t xml:space="preserve">Table </w:t>
      </w:r>
      <w:fldSimple w:instr=" SEQ Table \* ARABIC ">
        <w:r w:rsidR="00E22E13">
          <w:rPr>
            <w:noProof/>
          </w:rPr>
          <w:t>7</w:t>
        </w:r>
      </w:fldSimple>
      <w:bookmarkEnd w:id="121"/>
      <w:r>
        <w:t>: Description of different sources of future supply</w:t>
      </w:r>
    </w:p>
    <w:tbl>
      <w:tblPr>
        <w:tblStyle w:val="Tables-APBase"/>
        <w:tblW w:w="5000" w:type="pct"/>
        <w:tblLayout w:type="fixed"/>
        <w:tblLook w:val="04A0" w:firstRow="1" w:lastRow="0" w:firstColumn="1" w:lastColumn="0" w:noHBand="0" w:noVBand="1"/>
        <w:tblCaption w:val="Table 7 "/>
        <w:tblDescription w:val="Table 7 Describes the different sources of future supply.  A Current WA means there are reserves held in a currently licensed extractive work authority. A Variation to current WA means there are planned future licensed reserves coming from an intended variation to an existing work authority. This represents an extension of the currently licensed mine area of a quarry.  A WA Application means an application for a new work authority at a location different to the one currently operated by the work authority holder."/>
      </w:tblPr>
      <w:tblGrid>
        <w:gridCol w:w="2093"/>
        <w:gridCol w:w="6344"/>
      </w:tblGrid>
      <w:tr w:rsidR="003C0984"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93" w:type="dxa"/>
          </w:tcPr>
          <w:p w:rsidR="003C0984" w:rsidRDefault="003C0984" w:rsidP="006916CE">
            <w:pPr>
              <w:pStyle w:val="TableColumnHeadingSmall"/>
            </w:pPr>
            <w:r>
              <w:t>Supply source</w:t>
            </w:r>
          </w:p>
        </w:tc>
        <w:tc>
          <w:tcPr>
            <w:tcW w:w="6344" w:type="dxa"/>
          </w:tcPr>
          <w:p w:rsidR="003C0984" w:rsidRDefault="003C0984" w:rsidP="006916CE">
            <w:pPr>
              <w:pStyle w:val="TableColumnHeadingSmall"/>
              <w:cnfStyle w:val="100000000000" w:firstRow="1" w:lastRow="0" w:firstColumn="0" w:lastColumn="0" w:oddVBand="0" w:evenVBand="0" w:oddHBand="0" w:evenHBand="0" w:firstRowFirstColumn="0" w:firstRowLastColumn="0" w:lastRowFirstColumn="0" w:lastRowLastColumn="0"/>
            </w:pPr>
            <w:r>
              <w:t>Description</w:t>
            </w:r>
          </w:p>
        </w:tc>
      </w:tr>
      <w:tr w:rsidR="003C0984" w:rsidTr="006916CE">
        <w:tc>
          <w:tcPr>
            <w:tcW w:w="2093" w:type="dxa"/>
          </w:tcPr>
          <w:p w:rsidR="003C0984" w:rsidRDefault="003C0984" w:rsidP="006916CE">
            <w:pPr>
              <w:pStyle w:val="TableTextSmall"/>
            </w:pPr>
            <w:r>
              <w:t>Current WA</w:t>
            </w:r>
          </w:p>
        </w:tc>
        <w:tc>
          <w:tcPr>
            <w:tcW w:w="6344" w:type="dxa"/>
          </w:tcPr>
          <w:p w:rsidR="003C0984" w:rsidRDefault="003C0984" w:rsidP="006916CE">
            <w:pPr>
              <w:pStyle w:val="TableTextSmall"/>
            </w:pPr>
            <w:r>
              <w:t>Reserves held in a currently licensed extractive work authority</w:t>
            </w:r>
          </w:p>
        </w:tc>
      </w:tr>
      <w:tr w:rsidR="003C0984" w:rsidTr="006916CE">
        <w:tc>
          <w:tcPr>
            <w:tcW w:w="2093" w:type="dxa"/>
          </w:tcPr>
          <w:p w:rsidR="003C0984" w:rsidRDefault="003C0984" w:rsidP="006916CE">
            <w:pPr>
              <w:pStyle w:val="TableTextSmall"/>
            </w:pPr>
            <w:r>
              <w:t>Variation to current WA</w:t>
            </w:r>
          </w:p>
        </w:tc>
        <w:tc>
          <w:tcPr>
            <w:tcW w:w="6344" w:type="dxa"/>
          </w:tcPr>
          <w:p w:rsidR="003C0984" w:rsidRDefault="003C0984" w:rsidP="006916CE">
            <w:pPr>
              <w:pStyle w:val="TableTextSmall"/>
            </w:pPr>
            <w:r>
              <w:t xml:space="preserve">Planned future licensed reserves coming from an intended variation to an existing work authority. This represents an extension of the currently licensed mine area of a quarry. </w:t>
            </w:r>
          </w:p>
        </w:tc>
      </w:tr>
      <w:tr w:rsidR="003C0984" w:rsidTr="006916CE">
        <w:tc>
          <w:tcPr>
            <w:tcW w:w="2093" w:type="dxa"/>
          </w:tcPr>
          <w:p w:rsidR="003C0984" w:rsidRDefault="003C0984" w:rsidP="006916CE">
            <w:pPr>
              <w:pStyle w:val="TableTextSmall"/>
            </w:pPr>
            <w:r>
              <w:t>WA Application</w:t>
            </w:r>
          </w:p>
        </w:tc>
        <w:tc>
          <w:tcPr>
            <w:tcW w:w="6344" w:type="dxa"/>
          </w:tcPr>
          <w:p w:rsidR="003C0984" w:rsidRDefault="003C0984">
            <w:pPr>
              <w:pStyle w:val="TableTextSmall"/>
            </w:pPr>
            <w:r>
              <w:t xml:space="preserve">An application for a new work authority at a location different to the one currently </w:t>
            </w:r>
            <w:r w:rsidR="008517C7">
              <w:t xml:space="preserve">operated </w:t>
            </w:r>
            <w:r>
              <w:t xml:space="preserve">by the work authority holder. </w:t>
            </w:r>
          </w:p>
        </w:tc>
      </w:tr>
    </w:tbl>
    <w:p w:rsidR="003C0984" w:rsidRDefault="003C0984" w:rsidP="006916CE">
      <w:pPr>
        <w:pStyle w:val="Sources"/>
      </w:pPr>
      <w:r>
        <w:t>Source: PwC analysis</w:t>
      </w:r>
    </w:p>
    <w:p w:rsidR="003C0984" w:rsidRPr="007972FB" w:rsidRDefault="003C0984" w:rsidP="003C0984">
      <w:pPr>
        <w:pStyle w:val="PwCNormal"/>
      </w:pPr>
      <w:r w:rsidRPr="007C0A9C">
        <w:t xml:space="preserve">The mix of supply from these different sources changes through the analysis period. Beginning in 2015, 100 per cent of supply is delivered from currently licensed WAs. However by 2050, numerous planned variations and new quarries begin to produce and these proportions change significantly. At 2050, 44 per cent of supply is estimated to be delivered from currently licensed reserves, with </w:t>
      </w:r>
      <w:r>
        <w:t>56 </w:t>
      </w:r>
      <w:r w:rsidRPr="007C0A9C">
        <w:t xml:space="preserve">per cent being delivered from </w:t>
      </w:r>
      <w:r>
        <w:t xml:space="preserve">applications for new WAs and less than one per cent from variations to existing </w:t>
      </w:r>
      <w:r w:rsidRPr="007C0A9C">
        <w:t>WAs.</w:t>
      </w:r>
      <w:r>
        <w:t xml:space="preserve"> </w:t>
      </w:r>
    </w:p>
    <w:p w:rsidR="00D54F35" w:rsidRDefault="00114224" w:rsidP="006916CE">
      <w:pPr>
        <w:pStyle w:val="PwCNormal"/>
      </w:pPr>
      <w:r>
        <w:t>Due to incorporation of these planned future quarries and variations to existing licensed resources, reported remaining licensed reserve amounts may not align with cumulative production levels indicated</w:t>
      </w:r>
      <w:bookmarkStart w:id="122" w:name="_Ref445713985"/>
      <w:r w:rsidR="00AD51FA">
        <w:t>.</w:t>
      </w:r>
      <w:r w:rsidR="00AD51FA">
        <w:rPr>
          <w:rStyle w:val="FootnoteReference"/>
        </w:rPr>
        <w:footnoteReference w:id="19"/>
      </w:r>
    </w:p>
    <w:p w:rsidR="003C0984" w:rsidRDefault="003C0984" w:rsidP="006916CE">
      <w:pPr>
        <w:pStyle w:val="PwCNormal"/>
        <w:sectPr w:rsidR="003C0984" w:rsidSect="001A7D05">
          <w:pgSz w:w="11907" w:h="16840" w:code="9"/>
          <w:pgMar w:top="1588" w:right="1843" w:bottom="1418" w:left="1843" w:header="567" w:footer="567" w:gutter="0"/>
          <w:cols w:space="227"/>
          <w:titlePg/>
          <w:docGrid w:linePitch="360"/>
        </w:sectPr>
      </w:pPr>
    </w:p>
    <w:p w:rsidR="00190C2F" w:rsidRDefault="00190C2F" w:rsidP="0089081A">
      <w:pPr>
        <w:pStyle w:val="Caption"/>
      </w:pPr>
      <w:bookmarkStart w:id="123" w:name="_Ref447782679"/>
      <w:r>
        <w:t xml:space="preserve">Table </w:t>
      </w:r>
      <w:fldSimple w:instr=" SEQ Table \* ARABIC ">
        <w:r w:rsidR="00E22E13">
          <w:rPr>
            <w:noProof/>
          </w:rPr>
          <w:t>8</w:t>
        </w:r>
      </w:fldSimple>
      <w:bookmarkEnd w:id="122"/>
      <w:bookmarkEnd w:id="123"/>
      <w:r>
        <w:t xml:space="preserve">: </w:t>
      </w:r>
      <w:r w:rsidR="0032133E">
        <w:t>Demand values</w:t>
      </w:r>
      <w:r>
        <w:t xml:space="preserve"> and remaining </w:t>
      </w:r>
      <w:r w:rsidR="00114224">
        <w:t xml:space="preserve">licensed reserves </w:t>
      </w:r>
      <w:r>
        <w:t>by rock type, Victoria</w:t>
      </w:r>
      <w:r w:rsidR="00196F98">
        <w:t xml:space="preserve">, </w:t>
      </w:r>
      <w:r w:rsidR="0032133E">
        <w:t xml:space="preserve">in </w:t>
      </w:r>
      <w:r w:rsidR="00196F98">
        <w:t>tonne</w:t>
      </w:r>
      <w:r w:rsidR="008C5489">
        <w:t>s</w:t>
      </w:r>
    </w:p>
    <w:tbl>
      <w:tblPr>
        <w:tblStyle w:val="Tables-APBase"/>
        <w:tblW w:w="5000" w:type="pct"/>
        <w:tblLook w:val="04A0" w:firstRow="1" w:lastRow="0" w:firstColumn="1" w:lastColumn="0" w:noHBand="0" w:noVBand="1"/>
        <w:tblCaption w:val="Table 8"/>
        <w:tblDescription w:val="Table 8 shows demand values and remaining licensed reserves by rock type.  The greatest reserves in 2050 will be of sand and gravel (9.016,088,024 tonnes) and basalt new (1,054,135,076 tonnes).  There will be no reserves of trachyte, quartzite or marble (though there is currently no demand or supply of marble in 2015). "/>
      </w:tblPr>
      <w:tblGrid>
        <w:gridCol w:w="3227"/>
        <w:gridCol w:w="1133"/>
        <w:gridCol w:w="1276"/>
        <w:gridCol w:w="1276"/>
        <w:gridCol w:w="1411"/>
        <w:gridCol w:w="1222"/>
        <w:gridCol w:w="1495"/>
        <w:gridCol w:w="1495"/>
        <w:gridCol w:w="1515"/>
      </w:tblGrid>
      <w:tr w:rsidR="00CD3D8B"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48" w:type="pct"/>
          </w:tcPr>
          <w:p w:rsidR="00CD3D8B" w:rsidRDefault="00CD3D8B" w:rsidP="0089081A">
            <w:pPr>
              <w:pStyle w:val="TableColumnHeadingSmall"/>
            </w:pPr>
            <w:r>
              <w:t>Rock type</w:t>
            </w:r>
          </w:p>
        </w:tc>
        <w:tc>
          <w:tcPr>
            <w:tcW w:w="403" w:type="pct"/>
          </w:tcPr>
          <w:p w:rsidR="00CD3D8B" w:rsidRPr="004D154A" w:rsidRDefault="00CD3D8B" w:rsidP="00D54F35">
            <w:pPr>
              <w:pStyle w:val="TableColumnHeadingSmall"/>
              <w:jc w:val="right"/>
              <w:cnfStyle w:val="100000000000" w:firstRow="1" w:lastRow="0" w:firstColumn="0" w:lastColumn="0" w:oddVBand="0" w:evenVBand="0" w:oddHBand="0" w:evenHBand="0" w:firstRowFirstColumn="0" w:firstRowLastColumn="0" w:lastRowFirstColumn="0" w:lastRowLastColumn="0"/>
            </w:pPr>
            <w:r>
              <w:t>Demand,</w:t>
            </w:r>
            <w:r>
              <w:br/>
              <w:t>2015</w:t>
            </w:r>
          </w:p>
        </w:tc>
        <w:tc>
          <w:tcPr>
            <w:tcW w:w="454" w:type="pct"/>
          </w:tcPr>
          <w:p w:rsidR="00CD3D8B" w:rsidRDefault="00CD3D8B">
            <w:pPr>
              <w:pStyle w:val="TableColumnHeadingSmall"/>
              <w:jc w:val="right"/>
              <w:cnfStyle w:val="100000000000" w:firstRow="1" w:lastRow="0" w:firstColumn="0" w:lastColumn="0" w:oddVBand="0" w:evenVBand="0" w:oddHBand="0" w:evenHBand="0" w:firstRowFirstColumn="0" w:firstRowLastColumn="0" w:lastRowFirstColumn="0" w:lastRowLastColumn="0"/>
            </w:pPr>
            <w:r w:rsidRPr="004D154A">
              <w:t xml:space="preserve">Demand, </w:t>
            </w:r>
            <w:r>
              <w:br/>
            </w:r>
            <w:r w:rsidRPr="004D154A">
              <w:t>2025</w:t>
            </w:r>
          </w:p>
        </w:tc>
        <w:tc>
          <w:tcPr>
            <w:tcW w:w="454" w:type="pct"/>
          </w:tcPr>
          <w:p w:rsidR="00CD3D8B" w:rsidRDefault="00CD3D8B"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4D154A">
              <w:t xml:space="preserve">Cumulative demand, </w:t>
            </w:r>
            <w:r>
              <w:br/>
            </w:r>
            <w:r w:rsidRPr="004D154A">
              <w:t>2015</w:t>
            </w:r>
            <w:r w:rsidR="006925D6">
              <w:t xml:space="preserve"> to 20</w:t>
            </w:r>
            <w:r w:rsidRPr="004D154A">
              <w:t>25</w:t>
            </w:r>
          </w:p>
        </w:tc>
        <w:tc>
          <w:tcPr>
            <w:tcW w:w="502" w:type="pct"/>
          </w:tcPr>
          <w:p w:rsidR="00CD3D8B" w:rsidRDefault="00CD3D8B">
            <w:pPr>
              <w:pStyle w:val="TableColumnHeadingSmall"/>
              <w:jc w:val="right"/>
              <w:cnfStyle w:val="100000000000" w:firstRow="1" w:lastRow="0" w:firstColumn="0" w:lastColumn="0" w:oddVBand="0" w:evenVBand="0" w:oddHBand="0" w:evenHBand="0" w:firstRowFirstColumn="0" w:firstRowLastColumn="0" w:lastRowFirstColumn="0" w:lastRowLastColumn="0"/>
            </w:pPr>
            <w:r w:rsidRPr="00CD3D8B">
              <w:t>Remaining years of supply at 2025</w:t>
            </w:r>
            <w:r>
              <w:t>*</w:t>
            </w:r>
          </w:p>
        </w:tc>
        <w:tc>
          <w:tcPr>
            <w:tcW w:w="435" w:type="pct"/>
          </w:tcPr>
          <w:p w:rsidR="00CD3D8B" w:rsidRPr="004D154A" w:rsidRDefault="00CD3D8B" w:rsidP="00D54F35">
            <w:pPr>
              <w:pStyle w:val="TableColumnHeadingSmall"/>
              <w:jc w:val="right"/>
              <w:cnfStyle w:val="100000000000" w:firstRow="1" w:lastRow="0" w:firstColumn="0" w:lastColumn="0" w:oddVBand="0" w:evenVBand="0" w:oddHBand="0" w:evenHBand="0" w:firstRowFirstColumn="0" w:firstRowLastColumn="0" w:lastRowFirstColumn="0" w:lastRowLastColumn="0"/>
            </w:pPr>
            <w:r>
              <w:t>Demand,</w:t>
            </w:r>
            <w:r>
              <w:br/>
              <w:t>2026</w:t>
            </w:r>
          </w:p>
        </w:tc>
        <w:tc>
          <w:tcPr>
            <w:tcW w:w="532" w:type="pct"/>
          </w:tcPr>
          <w:p w:rsidR="00CD3D8B" w:rsidRDefault="00CD3D8B">
            <w:pPr>
              <w:pStyle w:val="TableColumnHeadingSmall"/>
              <w:jc w:val="right"/>
              <w:cnfStyle w:val="100000000000" w:firstRow="1" w:lastRow="0" w:firstColumn="0" w:lastColumn="0" w:oddVBand="0" w:evenVBand="0" w:oddHBand="0" w:evenHBand="0" w:firstRowFirstColumn="0" w:firstRowLastColumn="0" w:lastRowFirstColumn="0" w:lastRowLastColumn="0"/>
            </w:pPr>
            <w:r w:rsidRPr="004D154A">
              <w:t xml:space="preserve">Demand, </w:t>
            </w:r>
            <w:r>
              <w:br/>
            </w:r>
            <w:r w:rsidRPr="004D154A">
              <w:t>2050</w:t>
            </w:r>
          </w:p>
        </w:tc>
        <w:tc>
          <w:tcPr>
            <w:tcW w:w="532" w:type="pct"/>
          </w:tcPr>
          <w:p w:rsidR="00CD3D8B" w:rsidRDefault="00CD3D8B"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4D154A">
              <w:t xml:space="preserve">Cumulative demand, </w:t>
            </w:r>
            <w:r>
              <w:br/>
            </w:r>
            <w:r w:rsidRPr="004D154A">
              <w:t>2026</w:t>
            </w:r>
            <w:r w:rsidR="006925D6">
              <w:t xml:space="preserve"> to 20</w:t>
            </w:r>
            <w:r w:rsidRPr="004D154A">
              <w:t>50</w:t>
            </w:r>
          </w:p>
        </w:tc>
        <w:tc>
          <w:tcPr>
            <w:tcW w:w="539" w:type="pct"/>
          </w:tcPr>
          <w:p w:rsidR="00CD3D8B" w:rsidRDefault="00CD3D8B">
            <w:pPr>
              <w:pStyle w:val="TableColumnHeadingSmall"/>
              <w:jc w:val="right"/>
              <w:cnfStyle w:val="100000000000" w:firstRow="1" w:lastRow="0" w:firstColumn="0" w:lastColumn="0" w:oddVBand="0" w:evenVBand="0" w:oddHBand="0" w:evenHBand="0" w:firstRowFirstColumn="0" w:firstRowLastColumn="0" w:lastRowFirstColumn="0" w:lastRowLastColumn="0"/>
            </w:pPr>
            <w:r w:rsidRPr="004D154A">
              <w:t>Remaining licensed reserves, 2050</w:t>
            </w:r>
            <w:r>
              <w:t>**</w:t>
            </w:r>
          </w:p>
        </w:tc>
      </w:tr>
      <w:tr w:rsidR="00CD3D8B" w:rsidTr="006916CE">
        <w:tc>
          <w:tcPr>
            <w:tcW w:w="1148" w:type="pct"/>
            <w:vAlign w:val="center"/>
          </w:tcPr>
          <w:p w:rsidR="00CD3D8B" w:rsidRDefault="00CD3D8B" w:rsidP="0089081A">
            <w:pPr>
              <w:pStyle w:val="TableTextSmall"/>
              <w:keepNext/>
            </w:pPr>
            <w:r>
              <w:rPr>
                <w:color w:val="000000"/>
                <w:szCs w:val="16"/>
              </w:rPr>
              <w:t>Basalt Old</w:t>
            </w:r>
          </w:p>
        </w:tc>
        <w:tc>
          <w:tcPr>
            <w:tcW w:w="403" w:type="pct"/>
            <w:vAlign w:val="center"/>
          </w:tcPr>
          <w:p w:rsidR="00CD3D8B" w:rsidRPr="00AD77C0" w:rsidRDefault="00CD3D8B">
            <w:pPr>
              <w:pStyle w:val="TableTextSmall"/>
              <w:keepNext/>
              <w:jc w:val="right"/>
            </w:pPr>
            <w:r w:rsidRPr="00313ED9">
              <w:t xml:space="preserve"> 2,762,422 </w:t>
            </w:r>
          </w:p>
        </w:tc>
        <w:tc>
          <w:tcPr>
            <w:tcW w:w="454" w:type="pct"/>
            <w:vAlign w:val="center"/>
          </w:tcPr>
          <w:p w:rsidR="00CD3D8B" w:rsidRDefault="00CD3D8B">
            <w:pPr>
              <w:pStyle w:val="TableTextSmall"/>
              <w:keepNext/>
              <w:jc w:val="right"/>
              <w:rPr>
                <w:color w:val="000000"/>
                <w:szCs w:val="16"/>
              </w:rPr>
            </w:pPr>
            <w:r w:rsidRPr="00AD77C0">
              <w:t xml:space="preserve"> 3,423,110 </w:t>
            </w:r>
          </w:p>
        </w:tc>
        <w:tc>
          <w:tcPr>
            <w:tcW w:w="454" w:type="pct"/>
            <w:vAlign w:val="center"/>
          </w:tcPr>
          <w:p w:rsidR="00CD3D8B" w:rsidRDefault="00CD3D8B">
            <w:pPr>
              <w:pStyle w:val="TableTextSmall"/>
              <w:keepNext/>
              <w:jc w:val="right"/>
            </w:pPr>
            <w:r w:rsidRPr="00AD77C0">
              <w:t xml:space="preserve"> 34,007,015 </w:t>
            </w:r>
          </w:p>
        </w:tc>
        <w:tc>
          <w:tcPr>
            <w:tcW w:w="502" w:type="pct"/>
            <w:vAlign w:val="center"/>
          </w:tcPr>
          <w:p w:rsidR="00CD3D8B" w:rsidRPr="007B3C9A" w:rsidRDefault="00CD3D8B">
            <w:pPr>
              <w:pStyle w:val="TableTextSmall"/>
              <w:keepNext/>
              <w:jc w:val="right"/>
            </w:pPr>
            <w:r w:rsidRPr="001D5E25">
              <w:t xml:space="preserve"> 33 </w:t>
            </w:r>
          </w:p>
        </w:tc>
        <w:tc>
          <w:tcPr>
            <w:tcW w:w="435" w:type="pct"/>
            <w:vAlign w:val="center"/>
          </w:tcPr>
          <w:p w:rsidR="00CD3D8B" w:rsidRPr="00AD77C0" w:rsidRDefault="00CD3D8B">
            <w:pPr>
              <w:pStyle w:val="TableTextSmall"/>
              <w:keepNext/>
              <w:jc w:val="right"/>
            </w:pPr>
            <w:r w:rsidRPr="007B3C9A">
              <w:t xml:space="preserve"> 3,508,908 </w:t>
            </w:r>
          </w:p>
        </w:tc>
        <w:tc>
          <w:tcPr>
            <w:tcW w:w="532" w:type="pct"/>
            <w:vAlign w:val="center"/>
          </w:tcPr>
          <w:p w:rsidR="00CD3D8B" w:rsidRDefault="00CD3D8B">
            <w:pPr>
              <w:pStyle w:val="TableTextSmall"/>
              <w:keepNext/>
              <w:jc w:val="right"/>
            </w:pPr>
            <w:r w:rsidRPr="00AD77C0">
              <w:t xml:space="preserve"> 5,962,839 </w:t>
            </w:r>
          </w:p>
        </w:tc>
        <w:tc>
          <w:tcPr>
            <w:tcW w:w="532" w:type="pct"/>
            <w:vAlign w:val="center"/>
          </w:tcPr>
          <w:p w:rsidR="00CD3D8B" w:rsidRPr="0010340C" w:rsidRDefault="00CD3D8B">
            <w:pPr>
              <w:pStyle w:val="TableTextSmall"/>
              <w:keepNext/>
              <w:jc w:val="right"/>
            </w:pPr>
            <w:r w:rsidRPr="00AD77C0">
              <w:t xml:space="preserve"> 114,374,830 </w:t>
            </w:r>
          </w:p>
        </w:tc>
        <w:tc>
          <w:tcPr>
            <w:tcW w:w="539" w:type="pct"/>
            <w:vAlign w:val="center"/>
          </w:tcPr>
          <w:p w:rsidR="00CD3D8B" w:rsidRDefault="00CD3D8B">
            <w:pPr>
              <w:pStyle w:val="TableTextSmall"/>
              <w:keepNext/>
              <w:jc w:val="right"/>
            </w:pPr>
            <w:r w:rsidRPr="00AD77C0">
              <w:t xml:space="preserve"> 88,029,759 </w:t>
            </w:r>
          </w:p>
        </w:tc>
      </w:tr>
      <w:tr w:rsidR="00CD3D8B" w:rsidTr="006916CE">
        <w:tc>
          <w:tcPr>
            <w:tcW w:w="1148" w:type="pct"/>
            <w:vAlign w:val="center"/>
          </w:tcPr>
          <w:p w:rsidR="00CD3D8B" w:rsidRDefault="00CD3D8B" w:rsidP="0089081A">
            <w:pPr>
              <w:pStyle w:val="TableTextSmall"/>
              <w:keepNext/>
            </w:pPr>
            <w:r>
              <w:rPr>
                <w:color w:val="000000"/>
                <w:szCs w:val="16"/>
              </w:rPr>
              <w:t>Basalt New</w:t>
            </w:r>
          </w:p>
        </w:tc>
        <w:tc>
          <w:tcPr>
            <w:tcW w:w="403" w:type="pct"/>
            <w:vAlign w:val="center"/>
          </w:tcPr>
          <w:p w:rsidR="00CD3D8B" w:rsidRPr="00AD77C0" w:rsidRDefault="00CD3D8B">
            <w:pPr>
              <w:pStyle w:val="TableTextSmall"/>
              <w:keepNext/>
              <w:jc w:val="right"/>
            </w:pPr>
            <w:r w:rsidRPr="00313ED9">
              <w:t xml:space="preserve"> 18,158,851 </w:t>
            </w:r>
          </w:p>
        </w:tc>
        <w:tc>
          <w:tcPr>
            <w:tcW w:w="454" w:type="pct"/>
            <w:vAlign w:val="center"/>
          </w:tcPr>
          <w:p w:rsidR="00CD3D8B" w:rsidRDefault="00CD3D8B">
            <w:pPr>
              <w:pStyle w:val="TableTextSmall"/>
              <w:keepNext/>
              <w:jc w:val="right"/>
              <w:rPr>
                <w:color w:val="000000"/>
                <w:szCs w:val="16"/>
              </w:rPr>
            </w:pPr>
            <w:r w:rsidRPr="00AD77C0">
              <w:t xml:space="preserve"> 21,424,017 </w:t>
            </w:r>
          </w:p>
        </w:tc>
        <w:tc>
          <w:tcPr>
            <w:tcW w:w="454" w:type="pct"/>
            <w:vAlign w:val="center"/>
          </w:tcPr>
          <w:p w:rsidR="00CD3D8B" w:rsidRDefault="00CD3D8B">
            <w:pPr>
              <w:pStyle w:val="TableTextSmall"/>
              <w:keepNext/>
              <w:jc w:val="right"/>
            </w:pPr>
            <w:r w:rsidRPr="00AD77C0">
              <w:t xml:space="preserve"> 220,171,127 </w:t>
            </w:r>
          </w:p>
        </w:tc>
        <w:tc>
          <w:tcPr>
            <w:tcW w:w="502" w:type="pct"/>
            <w:vAlign w:val="center"/>
          </w:tcPr>
          <w:p w:rsidR="00CD3D8B" w:rsidRPr="007B3C9A" w:rsidRDefault="00CD3D8B">
            <w:pPr>
              <w:pStyle w:val="TableTextSmall"/>
              <w:keepNext/>
              <w:jc w:val="right"/>
            </w:pPr>
            <w:r w:rsidRPr="001D5E25">
              <w:t xml:space="preserve"> 73 </w:t>
            </w:r>
          </w:p>
        </w:tc>
        <w:tc>
          <w:tcPr>
            <w:tcW w:w="435" w:type="pct"/>
            <w:vAlign w:val="center"/>
          </w:tcPr>
          <w:p w:rsidR="00CD3D8B" w:rsidRPr="00AD77C0" w:rsidRDefault="00CD3D8B">
            <w:pPr>
              <w:pStyle w:val="TableTextSmall"/>
              <w:keepNext/>
              <w:jc w:val="right"/>
            </w:pPr>
            <w:r w:rsidRPr="007B3C9A">
              <w:t xml:space="preserve"> 21,960,756 </w:t>
            </w:r>
          </w:p>
        </w:tc>
        <w:tc>
          <w:tcPr>
            <w:tcW w:w="532" w:type="pct"/>
            <w:vAlign w:val="center"/>
          </w:tcPr>
          <w:p w:rsidR="00CD3D8B" w:rsidRDefault="00CD3D8B">
            <w:pPr>
              <w:pStyle w:val="TableTextSmall"/>
              <w:keepNext/>
              <w:jc w:val="right"/>
            </w:pPr>
            <w:r w:rsidRPr="00AD77C0">
              <w:t xml:space="preserve"> 35,676,107 </w:t>
            </w:r>
          </w:p>
        </w:tc>
        <w:tc>
          <w:tcPr>
            <w:tcW w:w="532" w:type="pct"/>
            <w:vAlign w:val="center"/>
          </w:tcPr>
          <w:p w:rsidR="00CD3D8B" w:rsidRPr="0010340C" w:rsidRDefault="00CD3D8B">
            <w:pPr>
              <w:pStyle w:val="TableTextSmall"/>
              <w:keepNext/>
              <w:jc w:val="right"/>
            </w:pPr>
            <w:r w:rsidRPr="00AD77C0">
              <w:t xml:space="preserve"> 692,982,428 </w:t>
            </w:r>
          </w:p>
        </w:tc>
        <w:tc>
          <w:tcPr>
            <w:tcW w:w="539" w:type="pct"/>
            <w:vAlign w:val="center"/>
          </w:tcPr>
          <w:p w:rsidR="00CD3D8B" w:rsidRDefault="00CD3D8B">
            <w:pPr>
              <w:pStyle w:val="TableTextSmall"/>
              <w:keepNext/>
              <w:jc w:val="right"/>
            </w:pPr>
            <w:r w:rsidRPr="00AD77C0">
              <w:t xml:space="preserve"> 1,054,135,076 </w:t>
            </w:r>
          </w:p>
        </w:tc>
      </w:tr>
      <w:tr w:rsidR="00CD3D8B" w:rsidTr="006916CE">
        <w:tc>
          <w:tcPr>
            <w:tcW w:w="1148" w:type="pct"/>
            <w:vAlign w:val="center"/>
          </w:tcPr>
          <w:p w:rsidR="00CD3D8B" w:rsidRDefault="00CD3D8B" w:rsidP="0089081A">
            <w:pPr>
              <w:pStyle w:val="TableTextSmall"/>
              <w:keepNext/>
            </w:pPr>
            <w:r>
              <w:rPr>
                <w:color w:val="000000"/>
                <w:szCs w:val="16"/>
              </w:rPr>
              <w:t>Trachyte</w:t>
            </w:r>
          </w:p>
        </w:tc>
        <w:tc>
          <w:tcPr>
            <w:tcW w:w="403" w:type="pct"/>
            <w:vAlign w:val="center"/>
          </w:tcPr>
          <w:p w:rsidR="00CD3D8B" w:rsidRPr="00AD77C0" w:rsidRDefault="00CD3D8B">
            <w:pPr>
              <w:pStyle w:val="TableTextSmall"/>
              <w:keepNext/>
              <w:jc w:val="right"/>
            </w:pPr>
            <w:r w:rsidRPr="00313ED9">
              <w:t xml:space="preserve"> 4,500 </w:t>
            </w:r>
          </w:p>
        </w:tc>
        <w:tc>
          <w:tcPr>
            <w:tcW w:w="454" w:type="pct"/>
            <w:vAlign w:val="center"/>
          </w:tcPr>
          <w:p w:rsidR="00CD3D8B" w:rsidRDefault="00CD3D8B">
            <w:pPr>
              <w:pStyle w:val="TableTextSmall"/>
              <w:keepNext/>
              <w:jc w:val="right"/>
              <w:rPr>
                <w:color w:val="000000"/>
                <w:szCs w:val="16"/>
              </w:rPr>
            </w:pPr>
            <w:r w:rsidRPr="00AD77C0">
              <w:t xml:space="preserve"> 6,350 </w:t>
            </w:r>
          </w:p>
        </w:tc>
        <w:tc>
          <w:tcPr>
            <w:tcW w:w="454" w:type="pct"/>
            <w:vAlign w:val="center"/>
          </w:tcPr>
          <w:p w:rsidR="00CD3D8B" w:rsidRDefault="00CD3D8B">
            <w:pPr>
              <w:pStyle w:val="TableTextSmall"/>
              <w:keepNext/>
              <w:jc w:val="right"/>
            </w:pPr>
            <w:r w:rsidRPr="00AD77C0">
              <w:t xml:space="preserve"> 56,995 </w:t>
            </w:r>
          </w:p>
        </w:tc>
        <w:tc>
          <w:tcPr>
            <w:tcW w:w="502" w:type="pct"/>
            <w:vAlign w:val="center"/>
          </w:tcPr>
          <w:p w:rsidR="00CD3D8B" w:rsidRPr="007B3C9A" w:rsidRDefault="00CD3D8B">
            <w:pPr>
              <w:pStyle w:val="TableTextSmall"/>
              <w:keepNext/>
              <w:jc w:val="right"/>
            </w:pPr>
            <w:r w:rsidRPr="001D5E25">
              <w:t xml:space="preserve"> -   </w:t>
            </w:r>
          </w:p>
        </w:tc>
        <w:tc>
          <w:tcPr>
            <w:tcW w:w="435" w:type="pct"/>
            <w:vAlign w:val="center"/>
          </w:tcPr>
          <w:p w:rsidR="00CD3D8B" w:rsidRPr="00AD77C0" w:rsidRDefault="00CD3D8B">
            <w:pPr>
              <w:pStyle w:val="TableTextSmall"/>
              <w:keepNext/>
              <w:jc w:val="right"/>
            </w:pPr>
            <w:r w:rsidRPr="007B3C9A">
              <w:t xml:space="preserve"> 6,458 </w:t>
            </w:r>
          </w:p>
        </w:tc>
        <w:tc>
          <w:tcPr>
            <w:tcW w:w="532" w:type="pct"/>
            <w:vAlign w:val="center"/>
          </w:tcPr>
          <w:p w:rsidR="00CD3D8B" w:rsidRDefault="00CD3D8B">
            <w:pPr>
              <w:pStyle w:val="TableTextSmall"/>
              <w:keepNext/>
              <w:jc w:val="right"/>
            </w:pPr>
            <w:r w:rsidRPr="00AD77C0">
              <w:t xml:space="preserve"> 15,565 </w:t>
            </w:r>
          </w:p>
        </w:tc>
        <w:tc>
          <w:tcPr>
            <w:tcW w:w="532" w:type="pct"/>
            <w:vAlign w:val="center"/>
          </w:tcPr>
          <w:p w:rsidR="00CD3D8B" w:rsidRPr="0010340C" w:rsidRDefault="00CD3D8B">
            <w:pPr>
              <w:pStyle w:val="TableTextSmall"/>
              <w:keepNext/>
              <w:jc w:val="right"/>
            </w:pPr>
            <w:r w:rsidRPr="00AD77C0">
              <w:t xml:space="preserve"> 290,306 </w:t>
            </w:r>
          </w:p>
        </w:tc>
        <w:tc>
          <w:tcPr>
            <w:tcW w:w="539" w:type="pct"/>
            <w:vAlign w:val="center"/>
          </w:tcPr>
          <w:p w:rsidR="00CD3D8B" w:rsidRDefault="00CD3D8B">
            <w:pPr>
              <w:pStyle w:val="TableTextSmall"/>
              <w:keepNext/>
              <w:jc w:val="right"/>
            </w:pPr>
            <w:r w:rsidRPr="00AD77C0">
              <w:t xml:space="preserve"> -   </w:t>
            </w:r>
          </w:p>
        </w:tc>
      </w:tr>
      <w:tr w:rsidR="00CD3D8B" w:rsidTr="006916CE">
        <w:tc>
          <w:tcPr>
            <w:tcW w:w="1148" w:type="pct"/>
            <w:vAlign w:val="center"/>
          </w:tcPr>
          <w:p w:rsidR="00CD3D8B" w:rsidRDefault="00CD3D8B" w:rsidP="0089081A">
            <w:pPr>
              <w:pStyle w:val="TableTextSmall"/>
              <w:keepNext/>
            </w:pPr>
            <w:r>
              <w:rPr>
                <w:color w:val="000000"/>
                <w:szCs w:val="16"/>
              </w:rPr>
              <w:t>Dolerite</w:t>
            </w:r>
          </w:p>
        </w:tc>
        <w:tc>
          <w:tcPr>
            <w:tcW w:w="403" w:type="pct"/>
            <w:vAlign w:val="center"/>
          </w:tcPr>
          <w:p w:rsidR="00CD3D8B" w:rsidRPr="00AD77C0" w:rsidRDefault="00CD3D8B">
            <w:pPr>
              <w:pStyle w:val="TableTextSmall"/>
              <w:keepNext/>
              <w:jc w:val="right"/>
            </w:pPr>
            <w:r w:rsidRPr="00313ED9">
              <w:t xml:space="preserve"> -   </w:t>
            </w:r>
          </w:p>
        </w:tc>
        <w:tc>
          <w:tcPr>
            <w:tcW w:w="454" w:type="pct"/>
            <w:vAlign w:val="center"/>
          </w:tcPr>
          <w:p w:rsidR="00CD3D8B" w:rsidRDefault="00CD3D8B">
            <w:pPr>
              <w:pStyle w:val="TableTextSmall"/>
              <w:keepNext/>
              <w:jc w:val="right"/>
              <w:rPr>
                <w:color w:val="000000"/>
                <w:szCs w:val="16"/>
              </w:rPr>
            </w:pPr>
            <w:r w:rsidRPr="00AD77C0">
              <w:t xml:space="preserve"> -   </w:t>
            </w:r>
          </w:p>
        </w:tc>
        <w:tc>
          <w:tcPr>
            <w:tcW w:w="454" w:type="pct"/>
            <w:vAlign w:val="center"/>
          </w:tcPr>
          <w:p w:rsidR="00CD3D8B" w:rsidRDefault="00CD3D8B">
            <w:pPr>
              <w:pStyle w:val="TableTextSmall"/>
              <w:keepNext/>
              <w:jc w:val="right"/>
            </w:pPr>
            <w:r w:rsidRPr="00AD77C0">
              <w:t xml:space="preserve"> -   </w:t>
            </w:r>
          </w:p>
        </w:tc>
        <w:tc>
          <w:tcPr>
            <w:tcW w:w="502" w:type="pct"/>
            <w:vAlign w:val="center"/>
          </w:tcPr>
          <w:p w:rsidR="00CD3D8B" w:rsidRPr="007B3C9A" w:rsidRDefault="00CD3D8B">
            <w:pPr>
              <w:pStyle w:val="TableTextSmall"/>
              <w:keepNext/>
              <w:jc w:val="right"/>
            </w:pPr>
            <w:r w:rsidRPr="001D5E25">
              <w:t xml:space="preserve"> -   </w:t>
            </w:r>
          </w:p>
        </w:tc>
        <w:tc>
          <w:tcPr>
            <w:tcW w:w="435" w:type="pct"/>
            <w:vAlign w:val="center"/>
          </w:tcPr>
          <w:p w:rsidR="00CD3D8B" w:rsidRPr="00AD77C0" w:rsidRDefault="00CD3D8B">
            <w:pPr>
              <w:pStyle w:val="TableTextSmall"/>
              <w:keepNext/>
              <w:jc w:val="right"/>
            </w:pPr>
            <w:r w:rsidRPr="007B3C9A">
              <w:t xml:space="preserve"> -   </w:t>
            </w:r>
          </w:p>
        </w:tc>
        <w:tc>
          <w:tcPr>
            <w:tcW w:w="532" w:type="pct"/>
            <w:vAlign w:val="center"/>
          </w:tcPr>
          <w:p w:rsidR="00CD3D8B" w:rsidRDefault="00CD3D8B">
            <w:pPr>
              <w:pStyle w:val="TableTextSmall"/>
              <w:keepNext/>
              <w:jc w:val="right"/>
            </w:pPr>
            <w:r w:rsidRPr="00AD77C0">
              <w:t xml:space="preserve"> -   </w:t>
            </w:r>
          </w:p>
        </w:tc>
        <w:tc>
          <w:tcPr>
            <w:tcW w:w="532" w:type="pct"/>
            <w:vAlign w:val="center"/>
          </w:tcPr>
          <w:p w:rsidR="00CD3D8B" w:rsidRPr="0010340C" w:rsidRDefault="00CD3D8B">
            <w:pPr>
              <w:pStyle w:val="TableTextSmall"/>
              <w:keepNext/>
              <w:jc w:val="right"/>
            </w:pPr>
            <w:r w:rsidRPr="00AD77C0">
              <w:t xml:space="preserve"> -   </w:t>
            </w:r>
          </w:p>
        </w:tc>
        <w:tc>
          <w:tcPr>
            <w:tcW w:w="539" w:type="pct"/>
            <w:vAlign w:val="center"/>
          </w:tcPr>
          <w:p w:rsidR="00CD3D8B" w:rsidRDefault="00CD3D8B">
            <w:pPr>
              <w:pStyle w:val="TableTextSmall"/>
              <w:keepNext/>
              <w:jc w:val="right"/>
            </w:pPr>
            <w:r w:rsidRPr="00AD77C0">
              <w:t xml:space="preserve"> 6,000,000 </w:t>
            </w:r>
          </w:p>
        </w:tc>
      </w:tr>
      <w:tr w:rsidR="00CD3D8B" w:rsidTr="006916CE">
        <w:tc>
          <w:tcPr>
            <w:tcW w:w="1148" w:type="pct"/>
            <w:vAlign w:val="center"/>
          </w:tcPr>
          <w:p w:rsidR="00CD3D8B" w:rsidRDefault="00CD3D8B" w:rsidP="0089081A">
            <w:pPr>
              <w:pStyle w:val="TableTextSmall"/>
              <w:keepNext/>
            </w:pPr>
            <w:r>
              <w:rPr>
                <w:color w:val="000000"/>
                <w:szCs w:val="16"/>
              </w:rPr>
              <w:t>Gneiss</w:t>
            </w:r>
          </w:p>
        </w:tc>
        <w:tc>
          <w:tcPr>
            <w:tcW w:w="403" w:type="pct"/>
            <w:vAlign w:val="center"/>
          </w:tcPr>
          <w:p w:rsidR="00CD3D8B" w:rsidRPr="00AD77C0" w:rsidRDefault="00CD3D8B">
            <w:pPr>
              <w:pStyle w:val="TableTextSmall"/>
              <w:keepNext/>
              <w:jc w:val="right"/>
            </w:pPr>
            <w:r w:rsidRPr="00313ED9">
              <w:t xml:space="preserve"> 4,294 </w:t>
            </w:r>
          </w:p>
        </w:tc>
        <w:tc>
          <w:tcPr>
            <w:tcW w:w="454" w:type="pct"/>
            <w:vAlign w:val="center"/>
          </w:tcPr>
          <w:p w:rsidR="00CD3D8B" w:rsidRDefault="00CD3D8B">
            <w:pPr>
              <w:pStyle w:val="TableTextSmall"/>
              <w:keepNext/>
              <w:jc w:val="right"/>
              <w:rPr>
                <w:color w:val="000000"/>
                <w:szCs w:val="16"/>
              </w:rPr>
            </w:pPr>
            <w:r w:rsidRPr="00AD77C0">
              <w:t xml:space="preserve"> 5,684 </w:t>
            </w:r>
          </w:p>
        </w:tc>
        <w:tc>
          <w:tcPr>
            <w:tcW w:w="454" w:type="pct"/>
            <w:vAlign w:val="center"/>
          </w:tcPr>
          <w:p w:rsidR="00CD3D8B" w:rsidRDefault="00CD3D8B">
            <w:pPr>
              <w:pStyle w:val="TableTextSmall"/>
              <w:keepNext/>
              <w:jc w:val="right"/>
            </w:pPr>
            <w:r w:rsidRPr="00AD77C0">
              <w:t xml:space="preserve"> 53,227 </w:t>
            </w:r>
          </w:p>
        </w:tc>
        <w:tc>
          <w:tcPr>
            <w:tcW w:w="502" w:type="pct"/>
            <w:vAlign w:val="center"/>
          </w:tcPr>
          <w:p w:rsidR="00CD3D8B" w:rsidRPr="007B3C9A" w:rsidRDefault="00CD3D8B">
            <w:pPr>
              <w:pStyle w:val="TableTextSmall"/>
              <w:keepNext/>
              <w:jc w:val="right"/>
            </w:pPr>
            <w:r w:rsidRPr="001D5E25">
              <w:t xml:space="preserve"> 42 </w:t>
            </w:r>
          </w:p>
        </w:tc>
        <w:tc>
          <w:tcPr>
            <w:tcW w:w="435" w:type="pct"/>
            <w:vAlign w:val="center"/>
          </w:tcPr>
          <w:p w:rsidR="00CD3D8B" w:rsidRPr="00AD77C0" w:rsidRDefault="00CD3D8B">
            <w:pPr>
              <w:pStyle w:val="TableTextSmall"/>
              <w:keepNext/>
              <w:jc w:val="right"/>
            </w:pPr>
            <w:r w:rsidRPr="007B3C9A">
              <w:t xml:space="preserve"> 5,788 </w:t>
            </w:r>
          </w:p>
        </w:tc>
        <w:tc>
          <w:tcPr>
            <w:tcW w:w="532" w:type="pct"/>
            <w:vAlign w:val="center"/>
          </w:tcPr>
          <w:p w:rsidR="00CD3D8B" w:rsidRDefault="00CD3D8B">
            <w:pPr>
              <w:pStyle w:val="TableTextSmall"/>
              <w:keepNext/>
              <w:jc w:val="right"/>
            </w:pPr>
            <w:r w:rsidRPr="00AD77C0">
              <w:t xml:space="preserve"> 10,500 </w:t>
            </w:r>
          </w:p>
        </w:tc>
        <w:tc>
          <w:tcPr>
            <w:tcW w:w="532" w:type="pct"/>
            <w:vAlign w:val="center"/>
          </w:tcPr>
          <w:p w:rsidR="00CD3D8B" w:rsidRPr="0010340C" w:rsidRDefault="00CD3D8B">
            <w:pPr>
              <w:pStyle w:val="TableTextSmall"/>
              <w:keepNext/>
              <w:jc w:val="right"/>
            </w:pPr>
            <w:r w:rsidRPr="00AD77C0">
              <w:t xml:space="preserve"> 204,354 </w:t>
            </w:r>
          </w:p>
        </w:tc>
        <w:tc>
          <w:tcPr>
            <w:tcW w:w="539" w:type="pct"/>
            <w:vAlign w:val="center"/>
          </w:tcPr>
          <w:p w:rsidR="00CD3D8B" w:rsidRDefault="00CD3D8B">
            <w:pPr>
              <w:pStyle w:val="TableTextSmall"/>
              <w:keepNext/>
              <w:jc w:val="right"/>
            </w:pPr>
            <w:r w:rsidRPr="00AD77C0">
              <w:t xml:space="preserve"> 378,214 </w:t>
            </w:r>
          </w:p>
        </w:tc>
      </w:tr>
      <w:tr w:rsidR="00CD3D8B" w:rsidTr="006916CE">
        <w:tc>
          <w:tcPr>
            <w:tcW w:w="1148" w:type="pct"/>
            <w:vAlign w:val="center"/>
          </w:tcPr>
          <w:p w:rsidR="00CD3D8B" w:rsidRDefault="00CD3D8B" w:rsidP="0089081A">
            <w:pPr>
              <w:pStyle w:val="TableTextSmall"/>
              <w:keepNext/>
            </w:pPr>
            <w:r>
              <w:rPr>
                <w:color w:val="000000"/>
                <w:szCs w:val="16"/>
              </w:rPr>
              <w:t>Granite (incl. granodiorite, porphyry, microgranites)</w:t>
            </w:r>
          </w:p>
        </w:tc>
        <w:tc>
          <w:tcPr>
            <w:tcW w:w="403" w:type="pct"/>
            <w:vAlign w:val="center"/>
          </w:tcPr>
          <w:p w:rsidR="00CD3D8B" w:rsidRPr="00AD77C0" w:rsidRDefault="00CD3D8B">
            <w:pPr>
              <w:pStyle w:val="TableTextSmall"/>
              <w:keepNext/>
              <w:jc w:val="right"/>
            </w:pPr>
            <w:r w:rsidRPr="00313ED9">
              <w:t xml:space="preserve"> 4,584,308 </w:t>
            </w:r>
          </w:p>
        </w:tc>
        <w:tc>
          <w:tcPr>
            <w:tcW w:w="454" w:type="pct"/>
            <w:vAlign w:val="center"/>
          </w:tcPr>
          <w:p w:rsidR="00CD3D8B" w:rsidRDefault="00CD3D8B">
            <w:pPr>
              <w:pStyle w:val="TableTextSmall"/>
              <w:keepNext/>
              <w:jc w:val="right"/>
              <w:rPr>
                <w:color w:val="000000"/>
                <w:szCs w:val="16"/>
              </w:rPr>
            </w:pPr>
            <w:r w:rsidRPr="00AD77C0">
              <w:t xml:space="preserve"> 5,466,420 </w:t>
            </w:r>
          </w:p>
        </w:tc>
        <w:tc>
          <w:tcPr>
            <w:tcW w:w="454" w:type="pct"/>
            <w:vAlign w:val="center"/>
          </w:tcPr>
          <w:p w:rsidR="00CD3D8B" w:rsidRDefault="00CD3D8B">
            <w:pPr>
              <w:pStyle w:val="TableTextSmall"/>
              <w:keepNext/>
              <w:jc w:val="right"/>
            </w:pPr>
            <w:r w:rsidRPr="00AD77C0">
              <w:t xml:space="preserve"> 56,016,794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5,601,111 </w:t>
            </w:r>
          </w:p>
        </w:tc>
        <w:tc>
          <w:tcPr>
            <w:tcW w:w="532" w:type="pct"/>
            <w:vAlign w:val="center"/>
          </w:tcPr>
          <w:p w:rsidR="00CD3D8B" w:rsidRDefault="00CD3D8B">
            <w:pPr>
              <w:pStyle w:val="TableTextSmall"/>
              <w:keepNext/>
              <w:jc w:val="right"/>
            </w:pPr>
            <w:r w:rsidRPr="00AD77C0">
              <w:t xml:space="preserve"> 9,194,780 </w:t>
            </w:r>
          </w:p>
        </w:tc>
        <w:tc>
          <w:tcPr>
            <w:tcW w:w="532" w:type="pct"/>
            <w:vAlign w:val="center"/>
          </w:tcPr>
          <w:p w:rsidR="00CD3D8B" w:rsidRPr="0010340C" w:rsidRDefault="00CD3D8B">
            <w:pPr>
              <w:pStyle w:val="TableTextSmall"/>
              <w:keepNext/>
              <w:jc w:val="right"/>
            </w:pPr>
            <w:r w:rsidRPr="00AD77C0">
              <w:t xml:space="preserve"> 178,606,934 </w:t>
            </w:r>
          </w:p>
        </w:tc>
        <w:tc>
          <w:tcPr>
            <w:tcW w:w="539" w:type="pct"/>
            <w:vAlign w:val="center"/>
          </w:tcPr>
          <w:p w:rsidR="00CD3D8B" w:rsidRDefault="00CD3D8B">
            <w:pPr>
              <w:pStyle w:val="TableTextSmall"/>
              <w:keepNext/>
              <w:jc w:val="right"/>
            </w:pPr>
            <w:r w:rsidRPr="00AD77C0">
              <w:t xml:space="preserve"> 656,516,857 </w:t>
            </w:r>
          </w:p>
        </w:tc>
      </w:tr>
      <w:tr w:rsidR="00CD3D8B" w:rsidTr="006916CE">
        <w:tc>
          <w:tcPr>
            <w:tcW w:w="1148" w:type="pct"/>
            <w:vAlign w:val="center"/>
          </w:tcPr>
          <w:p w:rsidR="00CD3D8B" w:rsidRDefault="00CD3D8B" w:rsidP="0089081A">
            <w:pPr>
              <w:pStyle w:val="TableTextSmall"/>
              <w:keepNext/>
            </w:pPr>
            <w:r>
              <w:rPr>
                <w:color w:val="000000"/>
                <w:szCs w:val="16"/>
              </w:rPr>
              <w:t>Hornfels</w:t>
            </w:r>
          </w:p>
        </w:tc>
        <w:tc>
          <w:tcPr>
            <w:tcW w:w="403" w:type="pct"/>
            <w:vAlign w:val="center"/>
          </w:tcPr>
          <w:p w:rsidR="00CD3D8B" w:rsidRPr="00AD77C0" w:rsidRDefault="00CD3D8B">
            <w:pPr>
              <w:pStyle w:val="TableTextSmall"/>
              <w:keepNext/>
              <w:jc w:val="right"/>
            </w:pPr>
            <w:r w:rsidRPr="00313ED9">
              <w:t xml:space="preserve"> 7,734,762 </w:t>
            </w:r>
          </w:p>
        </w:tc>
        <w:tc>
          <w:tcPr>
            <w:tcW w:w="454" w:type="pct"/>
            <w:vAlign w:val="center"/>
          </w:tcPr>
          <w:p w:rsidR="00CD3D8B" w:rsidRDefault="00CD3D8B">
            <w:pPr>
              <w:pStyle w:val="TableTextSmall"/>
              <w:keepNext/>
              <w:jc w:val="right"/>
              <w:rPr>
                <w:color w:val="000000"/>
                <w:szCs w:val="16"/>
              </w:rPr>
            </w:pPr>
            <w:r w:rsidRPr="00AD77C0">
              <w:t xml:space="preserve"> 9,139,632 </w:t>
            </w:r>
          </w:p>
        </w:tc>
        <w:tc>
          <w:tcPr>
            <w:tcW w:w="454" w:type="pct"/>
            <w:vAlign w:val="center"/>
          </w:tcPr>
          <w:p w:rsidR="00CD3D8B" w:rsidRDefault="00CD3D8B">
            <w:pPr>
              <w:pStyle w:val="TableTextSmall"/>
              <w:keepNext/>
              <w:jc w:val="right"/>
            </w:pPr>
            <w:r w:rsidRPr="00AD77C0">
              <w:t xml:space="preserve"> 94,514,804 </w:t>
            </w:r>
          </w:p>
        </w:tc>
        <w:tc>
          <w:tcPr>
            <w:tcW w:w="502" w:type="pct"/>
            <w:vAlign w:val="center"/>
          </w:tcPr>
          <w:p w:rsidR="00CD3D8B" w:rsidRPr="007B3C9A" w:rsidRDefault="00CD3D8B">
            <w:pPr>
              <w:pStyle w:val="TableTextSmall"/>
              <w:keepNext/>
              <w:jc w:val="right"/>
            </w:pPr>
            <w:r w:rsidRPr="001D5E25">
              <w:t xml:space="preserve"> 15 </w:t>
            </w:r>
          </w:p>
        </w:tc>
        <w:tc>
          <w:tcPr>
            <w:tcW w:w="435" w:type="pct"/>
            <w:vAlign w:val="center"/>
          </w:tcPr>
          <w:p w:rsidR="00CD3D8B" w:rsidRPr="00AD77C0" w:rsidRDefault="00CD3D8B">
            <w:pPr>
              <w:pStyle w:val="TableTextSmall"/>
              <w:keepNext/>
              <w:jc w:val="right"/>
            </w:pPr>
            <w:r w:rsidRPr="007B3C9A">
              <w:t xml:space="preserve"> 9,377,095 </w:t>
            </w:r>
          </w:p>
        </w:tc>
        <w:tc>
          <w:tcPr>
            <w:tcW w:w="532" w:type="pct"/>
            <w:vAlign w:val="center"/>
          </w:tcPr>
          <w:p w:rsidR="00CD3D8B" w:rsidRDefault="00CD3D8B">
            <w:pPr>
              <w:pStyle w:val="TableTextSmall"/>
              <w:keepNext/>
              <w:jc w:val="right"/>
            </w:pPr>
            <w:r w:rsidRPr="00AD77C0">
              <w:t xml:space="preserve"> 15,218,366 </w:t>
            </w:r>
          </w:p>
        </w:tc>
        <w:tc>
          <w:tcPr>
            <w:tcW w:w="532" w:type="pct"/>
            <w:vAlign w:val="center"/>
          </w:tcPr>
          <w:p w:rsidR="00CD3D8B" w:rsidRPr="0010340C" w:rsidRDefault="00CD3D8B">
            <w:pPr>
              <w:pStyle w:val="TableTextSmall"/>
              <w:keepNext/>
              <w:jc w:val="right"/>
            </w:pPr>
            <w:r w:rsidRPr="00AD77C0">
              <w:t xml:space="preserve"> 294,822,350 </w:t>
            </w:r>
          </w:p>
        </w:tc>
        <w:tc>
          <w:tcPr>
            <w:tcW w:w="539" w:type="pct"/>
            <w:vAlign w:val="center"/>
          </w:tcPr>
          <w:p w:rsidR="00CD3D8B" w:rsidRDefault="00CD3D8B">
            <w:pPr>
              <w:pStyle w:val="TableTextSmall"/>
              <w:keepNext/>
              <w:jc w:val="right"/>
            </w:pPr>
            <w:r w:rsidRPr="00AD77C0">
              <w:t xml:space="preserve"> 36,372,509 </w:t>
            </w:r>
          </w:p>
        </w:tc>
      </w:tr>
      <w:tr w:rsidR="00CD3D8B" w:rsidTr="006916CE">
        <w:tc>
          <w:tcPr>
            <w:tcW w:w="1148" w:type="pct"/>
            <w:vAlign w:val="center"/>
          </w:tcPr>
          <w:p w:rsidR="00CD3D8B" w:rsidRDefault="00CD3D8B" w:rsidP="0089081A">
            <w:pPr>
              <w:pStyle w:val="TableTextSmall"/>
              <w:keepNext/>
            </w:pPr>
            <w:r>
              <w:rPr>
                <w:color w:val="000000"/>
                <w:szCs w:val="16"/>
              </w:rPr>
              <w:t>Marble</w:t>
            </w:r>
          </w:p>
        </w:tc>
        <w:tc>
          <w:tcPr>
            <w:tcW w:w="403" w:type="pct"/>
            <w:vAlign w:val="center"/>
          </w:tcPr>
          <w:p w:rsidR="00CD3D8B" w:rsidRPr="00AD77C0" w:rsidRDefault="00CD3D8B">
            <w:pPr>
              <w:pStyle w:val="TableTextSmall"/>
              <w:keepNext/>
              <w:jc w:val="right"/>
            </w:pPr>
            <w:r w:rsidRPr="00313ED9">
              <w:t xml:space="preserve"> -   </w:t>
            </w:r>
          </w:p>
        </w:tc>
        <w:tc>
          <w:tcPr>
            <w:tcW w:w="454" w:type="pct"/>
            <w:vAlign w:val="center"/>
          </w:tcPr>
          <w:p w:rsidR="00CD3D8B" w:rsidRDefault="00CD3D8B">
            <w:pPr>
              <w:pStyle w:val="TableTextSmall"/>
              <w:keepNext/>
              <w:jc w:val="right"/>
              <w:rPr>
                <w:color w:val="000000"/>
                <w:szCs w:val="16"/>
              </w:rPr>
            </w:pPr>
            <w:r w:rsidRPr="00AD77C0">
              <w:t xml:space="preserve"> -   </w:t>
            </w:r>
          </w:p>
        </w:tc>
        <w:tc>
          <w:tcPr>
            <w:tcW w:w="454" w:type="pct"/>
            <w:vAlign w:val="center"/>
          </w:tcPr>
          <w:p w:rsidR="00CD3D8B" w:rsidRDefault="00CD3D8B">
            <w:pPr>
              <w:pStyle w:val="TableTextSmall"/>
              <w:keepNext/>
              <w:jc w:val="right"/>
            </w:pPr>
            <w:r w:rsidRPr="00AD77C0">
              <w:t xml:space="preserve"> -   </w:t>
            </w:r>
          </w:p>
        </w:tc>
        <w:tc>
          <w:tcPr>
            <w:tcW w:w="502" w:type="pct"/>
            <w:vAlign w:val="center"/>
          </w:tcPr>
          <w:p w:rsidR="00CD3D8B" w:rsidRPr="007B3C9A" w:rsidRDefault="00CD3D8B">
            <w:pPr>
              <w:pStyle w:val="TableTextSmall"/>
              <w:keepNext/>
              <w:jc w:val="right"/>
            </w:pPr>
            <w:r w:rsidRPr="001D5E25">
              <w:t xml:space="preserve"> -   </w:t>
            </w:r>
          </w:p>
        </w:tc>
        <w:tc>
          <w:tcPr>
            <w:tcW w:w="435" w:type="pct"/>
            <w:vAlign w:val="center"/>
          </w:tcPr>
          <w:p w:rsidR="00CD3D8B" w:rsidRPr="00AD77C0" w:rsidRDefault="00CD3D8B">
            <w:pPr>
              <w:pStyle w:val="TableTextSmall"/>
              <w:keepNext/>
              <w:jc w:val="right"/>
            </w:pPr>
            <w:r w:rsidRPr="007B3C9A">
              <w:t xml:space="preserve"> -   </w:t>
            </w:r>
          </w:p>
        </w:tc>
        <w:tc>
          <w:tcPr>
            <w:tcW w:w="532" w:type="pct"/>
            <w:vAlign w:val="center"/>
          </w:tcPr>
          <w:p w:rsidR="00CD3D8B" w:rsidRDefault="00CD3D8B">
            <w:pPr>
              <w:pStyle w:val="TableTextSmall"/>
              <w:keepNext/>
              <w:jc w:val="right"/>
            </w:pPr>
            <w:r w:rsidRPr="00AD77C0">
              <w:t xml:space="preserve"> -   </w:t>
            </w:r>
          </w:p>
        </w:tc>
        <w:tc>
          <w:tcPr>
            <w:tcW w:w="532" w:type="pct"/>
            <w:vAlign w:val="center"/>
          </w:tcPr>
          <w:p w:rsidR="00CD3D8B" w:rsidRPr="0010340C" w:rsidRDefault="00CD3D8B">
            <w:pPr>
              <w:pStyle w:val="TableTextSmall"/>
              <w:keepNext/>
              <w:jc w:val="right"/>
            </w:pPr>
            <w:r w:rsidRPr="00AD77C0">
              <w:t xml:space="preserve"> -   </w:t>
            </w:r>
          </w:p>
        </w:tc>
        <w:tc>
          <w:tcPr>
            <w:tcW w:w="539" w:type="pct"/>
            <w:vAlign w:val="center"/>
          </w:tcPr>
          <w:p w:rsidR="00CD3D8B" w:rsidRDefault="00CD3D8B">
            <w:pPr>
              <w:pStyle w:val="TableTextSmall"/>
              <w:keepNext/>
              <w:jc w:val="right"/>
            </w:pPr>
            <w:r w:rsidRPr="00AD77C0">
              <w:t xml:space="preserve"> -   </w:t>
            </w:r>
          </w:p>
        </w:tc>
      </w:tr>
      <w:tr w:rsidR="00CD3D8B" w:rsidTr="006916CE">
        <w:tc>
          <w:tcPr>
            <w:tcW w:w="1148" w:type="pct"/>
            <w:vAlign w:val="center"/>
          </w:tcPr>
          <w:p w:rsidR="00CD3D8B" w:rsidRDefault="00CD3D8B" w:rsidP="0089081A">
            <w:pPr>
              <w:pStyle w:val="TableTextSmall"/>
              <w:keepNext/>
            </w:pPr>
            <w:r>
              <w:rPr>
                <w:color w:val="000000"/>
                <w:szCs w:val="16"/>
              </w:rPr>
              <w:t>Quartzite</w:t>
            </w:r>
          </w:p>
        </w:tc>
        <w:tc>
          <w:tcPr>
            <w:tcW w:w="403" w:type="pct"/>
            <w:vAlign w:val="center"/>
          </w:tcPr>
          <w:p w:rsidR="00CD3D8B" w:rsidRPr="00AD77C0" w:rsidRDefault="00CD3D8B">
            <w:pPr>
              <w:pStyle w:val="TableTextSmall"/>
              <w:keepNext/>
              <w:jc w:val="right"/>
            </w:pPr>
            <w:r w:rsidRPr="00313ED9">
              <w:t xml:space="preserve"> 100,031 </w:t>
            </w:r>
          </w:p>
        </w:tc>
        <w:tc>
          <w:tcPr>
            <w:tcW w:w="454" w:type="pct"/>
            <w:vAlign w:val="center"/>
          </w:tcPr>
          <w:p w:rsidR="00CD3D8B" w:rsidRDefault="00CD3D8B">
            <w:pPr>
              <w:pStyle w:val="TableTextSmall"/>
              <w:keepNext/>
              <w:jc w:val="right"/>
              <w:rPr>
                <w:color w:val="000000"/>
                <w:szCs w:val="16"/>
              </w:rPr>
            </w:pPr>
            <w:r w:rsidRPr="00AD77C0">
              <w:t xml:space="preserve"> 112,241 </w:t>
            </w:r>
          </w:p>
        </w:tc>
        <w:tc>
          <w:tcPr>
            <w:tcW w:w="454" w:type="pct"/>
            <w:vAlign w:val="center"/>
          </w:tcPr>
          <w:p w:rsidR="00CD3D8B" w:rsidRDefault="00CD3D8B">
            <w:pPr>
              <w:pStyle w:val="TableTextSmall"/>
              <w:keepNext/>
              <w:jc w:val="right"/>
            </w:pPr>
            <w:r w:rsidRPr="00AD77C0">
              <w:t xml:space="preserve"> 1,138,314 </w:t>
            </w:r>
          </w:p>
        </w:tc>
        <w:tc>
          <w:tcPr>
            <w:tcW w:w="502" w:type="pct"/>
            <w:vAlign w:val="center"/>
          </w:tcPr>
          <w:p w:rsidR="00CD3D8B" w:rsidRPr="007B3C9A" w:rsidRDefault="00CD3D8B">
            <w:pPr>
              <w:pStyle w:val="TableTextSmall"/>
              <w:keepNext/>
              <w:jc w:val="right"/>
            </w:pPr>
            <w:r w:rsidRPr="001D5E25">
              <w:t xml:space="preserve"> 22 </w:t>
            </w:r>
          </w:p>
        </w:tc>
        <w:tc>
          <w:tcPr>
            <w:tcW w:w="435" w:type="pct"/>
            <w:vAlign w:val="center"/>
          </w:tcPr>
          <w:p w:rsidR="00CD3D8B" w:rsidRPr="00AD77C0" w:rsidRDefault="00CD3D8B">
            <w:pPr>
              <w:pStyle w:val="TableTextSmall"/>
              <w:keepNext/>
              <w:jc w:val="right"/>
            </w:pPr>
            <w:r w:rsidRPr="007B3C9A">
              <w:t xml:space="preserve"> 114,614 </w:t>
            </w:r>
          </w:p>
        </w:tc>
        <w:tc>
          <w:tcPr>
            <w:tcW w:w="532" w:type="pct"/>
            <w:vAlign w:val="center"/>
          </w:tcPr>
          <w:p w:rsidR="00CD3D8B" w:rsidRDefault="00CD3D8B">
            <w:pPr>
              <w:pStyle w:val="TableTextSmall"/>
              <w:keepNext/>
              <w:jc w:val="right"/>
            </w:pPr>
            <w:r w:rsidRPr="00AD77C0">
              <w:t xml:space="preserve"> 194,979 </w:t>
            </w:r>
          </w:p>
        </w:tc>
        <w:tc>
          <w:tcPr>
            <w:tcW w:w="532" w:type="pct"/>
            <w:vAlign w:val="center"/>
          </w:tcPr>
          <w:p w:rsidR="00CD3D8B" w:rsidRPr="0010340C" w:rsidRDefault="00CD3D8B">
            <w:pPr>
              <w:pStyle w:val="TableTextSmall"/>
              <w:keepNext/>
              <w:jc w:val="right"/>
            </w:pPr>
            <w:r w:rsidRPr="00AD77C0">
              <w:t xml:space="preserve"> 3,792,388 </w:t>
            </w:r>
          </w:p>
        </w:tc>
        <w:tc>
          <w:tcPr>
            <w:tcW w:w="539" w:type="pct"/>
            <w:vAlign w:val="center"/>
          </w:tcPr>
          <w:p w:rsidR="00CD3D8B" w:rsidRDefault="00CD3D8B">
            <w:pPr>
              <w:pStyle w:val="TableTextSmall"/>
              <w:keepNext/>
              <w:jc w:val="right"/>
            </w:pPr>
            <w:r w:rsidRPr="00AD77C0">
              <w:t xml:space="preserve"> -   </w:t>
            </w:r>
          </w:p>
        </w:tc>
      </w:tr>
      <w:tr w:rsidR="00CD3D8B" w:rsidTr="006916CE">
        <w:tc>
          <w:tcPr>
            <w:tcW w:w="1148" w:type="pct"/>
            <w:vAlign w:val="center"/>
          </w:tcPr>
          <w:p w:rsidR="00CD3D8B" w:rsidRDefault="00CD3D8B" w:rsidP="0089081A">
            <w:pPr>
              <w:pStyle w:val="TableTextSmall"/>
              <w:keepNext/>
            </w:pPr>
            <w:r>
              <w:rPr>
                <w:color w:val="000000"/>
                <w:szCs w:val="16"/>
              </w:rPr>
              <w:t>Rhyodacite (incl. dacite, rhyolite)</w:t>
            </w:r>
          </w:p>
        </w:tc>
        <w:tc>
          <w:tcPr>
            <w:tcW w:w="403" w:type="pct"/>
            <w:vAlign w:val="center"/>
          </w:tcPr>
          <w:p w:rsidR="00CD3D8B" w:rsidRPr="00AD77C0" w:rsidRDefault="00CD3D8B">
            <w:pPr>
              <w:pStyle w:val="TableTextSmall"/>
              <w:keepNext/>
              <w:jc w:val="right"/>
            </w:pPr>
            <w:r w:rsidRPr="00313ED9">
              <w:t xml:space="preserve"> 2,168,192 </w:t>
            </w:r>
          </w:p>
        </w:tc>
        <w:tc>
          <w:tcPr>
            <w:tcW w:w="454" w:type="pct"/>
            <w:vAlign w:val="center"/>
          </w:tcPr>
          <w:p w:rsidR="00CD3D8B" w:rsidRDefault="00CD3D8B">
            <w:pPr>
              <w:pStyle w:val="TableTextSmall"/>
              <w:keepNext/>
              <w:jc w:val="right"/>
              <w:rPr>
                <w:color w:val="000000"/>
                <w:szCs w:val="16"/>
              </w:rPr>
            </w:pPr>
            <w:r w:rsidRPr="00AD77C0">
              <w:t xml:space="preserve"> 2,557,255 </w:t>
            </w:r>
          </w:p>
        </w:tc>
        <w:tc>
          <w:tcPr>
            <w:tcW w:w="454" w:type="pct"/>
            <w:vAlign w:val="center"/>
          </w:tcPr>
          <w:p w:rsidR="00CD3D8B" w:rsidRDefault="00CD3D8B">
            <w:pPr>
              <w:pStyle w:val="TableTextSmall"/>
              <w:keepNext/>
              <w:jc w:val="right"/>
            </w:pPr>
            <w:r w:rsidRPr="00AD77C0">
              <w:t xml:space="preserve"> 26,404,028 </w:t>
            </w:r>
          </w:p>
        </w:tc>
        <w:tc>
          <w:tcPr>
            <w:tcW w:w="502" w:type="pct"/>
            <w:vAlign w:val="center"/>
          </w:tcPr>
          <w:p w:rsidR="00CD3D8B" w:rsidRPr="007B3C9A" w:rsidRDefault="00CD3D8B">
            <w:pPr>
              <w:pStyle w:val="TableTextSmall"/>
              <w:keepNext/>
              <w:jc w:val="right"/>
            </w:pPr>
            <w:r w:rsidRPr="001D5E25">
              <w:t xml:space="preserve"> 71 </w:t>
            </w:r>
          </w:p>
        </w:tc>
        <w:tc>
          <w:tcPr>
            <w:tcW w:w="435" w:type="pct"/>
            <w:vAlign w:val="center"/>
          </w:tcPr>
          <w:p w:rsidR="00CD3D8B" w:rsidRPr="00AD77C0" w:rsidRDefault="00CD3D8B">
            <w:pPr>
              <w:pStyle w:val="TableTextSmall"/>
              <w:keepNext/>
              <w:jc w:val="right"/>
            </w:pPr>
            <w:r w:rsidRPr="007B3C9A">
              <w:t xml:space="preserve"> 2,620,604 </w:t>
            </w:r>
          </w:p>
        </w:tc>
        <w:tc>
          <w:tcPr>
            <w:tcW w:w="532" w:type="pct"/>
            <w:vAlign w:val="center"/>
          </w:tcPr>
          <w:p w:rsidR="00CD3D8B" w:rsidRDefault="00CD3D8B">
            <w:pPr>
              <w:pStyle w:val="TableTextSmall"/>
              <w:keepNext/>
              <w:jc w:val="right"/>
            </w:pPr>
            <w:r w:rsidRPr="00AD77C0">
              <w:t xml:space="preserve"> 4,241,658 </w:t>
            </w:r>
          </w:p>
        </w:tc>
        <w:tc>
          <w:tcPr>
            <w:tcW w:w="532" w:type="pct"/>
            <w:vAlign w:val="center"/>
          </w:tcPr>
          <w:p w:rsidR="00CD3D8B" w:rsidRPr="0010340C" w:rsidRDefault="00CD3D8B">
            <w:pPr>
              <w:pStyle w:val="TableTextSmall"/>
              <w:keepNext/>
              <w:jc w:val="right"/>
            </w:pPr>
            <w:r w:rsidRPr="00AD77C0">
              <w:t xml:space="preserve"> 82,623,494 </w:t>
            </w:r>
          </w:p>
        </w:tc>
        <w:tc>
          <w:tcPr>
            <w:tcW w:w="539" w:type="pct"/>
            <w:vAlign w:val="center"/>
          </w:tcPr>
          <w:p w:rsidR="00CD3D8B" w:rsidRDefault="00CD3D8B">
            <w:pPr>
              <w:pStyle w:val="TableTextSmall"/>
              <w:keepNext/>
              <w:jc w:val="right"/>
            </w:pPr>
            <w:r w:rsidRPr="00AD77C0">
              <w:t xml:space="preserve"> 137,344,859 </w:t>
            </w:r>
          </w:p>
        </w:tc>
      </w:tr>
      <w:tr w:rsidR="00CD3D8B" w:rsidTr="006916CE">
        <w:tc>
          <w:tcPr>
            <w:tcW w:w="1148" w:type="pct"/>
            <w:vAlign w:val="center"/>
          </w:tcPr>
          <w:p w:rsidR="00CD3D8B" w:rsidRDefault="00CD3D8B" w:rsidP="0089081A">
            <w:pPr>
              <w:pStyle w:val="TableTextSmall"/>
              <w:keepNext/>
            </w:pPr>
            <w:r>
              <w:rPr>
                <w:color w:val="000000"/>
                <w:szCs w:val="16"/>
              </w:rPr>
              <w:t>Schist</w:t>
            </w:r>
          </w:p>
        </w:tc>
        <w:tc>
          <w:tcPr>
            <w:tcW w:w="403" w:type="pct"/>
            <w:vAlign w:val="center"/>
          </w:tcPr>
          <w:p w:rsidR="00CD3D8B" w:rsidRPr="00AD77C0" w:rsidRDefault="00CD3D8B">
            <w:pPr>
              <w:pStyle w:val="TableTextSmall"/>
              <w:keepNext/>
              <w:jc w:val="right"/>
            </w:pPr>
            <w:r w:rsidRPr="00313ED9">
              <w:t xml:space="preserve"> 91,347 </w:t>
            </w:r>
          </w:p>
        </w:tc>
        <w:tc>
          <w:tcPr>
            <w:tcW w:w="454" w:type="pct"/>
            <w:vAlign w:val="center"/>
          </w:tcPr>
          <w:p w:rsidR="00CD3D8B" w:rsidRDefault="00CD3D8B">
            <w:pPr>
              <w:pStyle w:val="TableTextSmall"/>
              <w:keepNext/>
              <w:jc w:val="right"/>
              <w:rPr>
                <w:color w:val="000000"/>
                <w:szCs w:val="16"/>
              </w:rPr>
            </w:pPr>
            <w:r w:rsidRPr="00AD77C0">
              <w:t xml:space="preserve"> 147,549 </w:t>
            </w:r>
          </w:p>
        </w:tc>
        <w:tc>
          <w:tcPr>
            <w:tcW w:w="454" w:type="pct"/>
            <w:vAlign w:val="center"/>
          </w:tcPr>
          <w:p w:rsidR="00CD3D8B" w:rsidRDefault="00CD3D8B">
            <w:pPr>
              <w:pStyle w:val="TableTextSmall"/>
              <w:keepNext/>
              <w:jc w:val="right"/>
            </w:pPr>
            <w:r w:rsidRPr="00AD77C0">
              <w:t xml:space="preserve"> 1,246,132 </w:t>
            </w:r>
          </w:p>
        </w:tc>
        <w:tc>
          <w:tcPr>
            <w:tcW w:w="502" w:type="pct"/>
            <w:vAlign w:val="center"/>
          </w:tcPr>
          <w:p w:rsidR="00CD3D8B" w:rsidRPr="007B3C9A" w:rsidRDefault="00CD3D8B">
            <w:pPr>
              <w:pStyle w:val="TableTextSmall"/>
              <w:keepNext/>
              <w:jc w:val="right"/>
            </w:pPr>
            <w:r w:rsidRPr="001D5E25">
              <w:t xml:space="preserve"> 24 </w:t>
            </w:r>
          </w:p>
        </w:tc>
        <w:tc>
          <w:tcPr>
            <w:tcW w:w="435" w:type="pct"/>
            <w:vAlign w:val="center"/>
          </w:tcPr>
          <w:p w:rsidR="00CD3D8B" w:rsidRPr="00AD77C0" w:rsidRDefault="00CD3D8B">
            <w:pPr>
              <w:pStyle w:val="TableTextSmall"/>
              <w:keepNext/>
              <w:jc w:val="right"/>
            </w:pPr>
            <w:r w:rsidRPr="007B3C9A">
              <w:t xml:space="preserve"> 149,880 </w:t>
            </w:r>
          </w:p>
        </w:tc>
        <w:tc>
          <w:tcPr>
            <w:tcW w:w="532" w:type="pct"/>
            <w:vAlign w:val="center"/>
          </w:tcPr>
          <w:p w:rsidR="00CD3D8B" w:rsidRDefault="00CD3D8B">
            <w:pPr>
              <w:pStyle w:val="TableTextSmall"/>
              <w:keepNext/>
              <w:jc w:val="right"/>
            </w:pPr>
            <w:r w:rsidRPr="00AD77C0">
              <w:t xml:space="preserve"> 339,068 </w:t>
            </w:r>
          </w:p>
        </w:tc>
        <w:tc>
          <w:tcPr>
            <w:tcW w:w="532" w:type="pct"/>
            <w:vAlign w:val="center"/>
          </w:tcPr>
          <w:p w:rsidR="00CD3D8B" w:rsidRPr="0010340C" w:rsidRDefault="00CD3D8B">
            <w:pPr>
              <w:pStyle w:val="TableTextSmall"/>
              <w:keepNext/>
              <w:jc w:val="right"/>
            </w:pPr>
            <w:r w:rsidRPr="00AD77C0">
              <w:t xml:space="preserve"> 6,385,065 </w:t>
            </w:r>
          </w:p>
        </w:tc>
        <w:tc>
          <w:tcPr>
            <w:tcW w:w="539" w:type="pct"/>
            <w:vAlign w:val="center"/>
          </w:tcPr>
          <w:p w:rsidR="00CD3D8B" w:rsidRDefault="00CD3D8B">
            <w:pPr>
              <w:pStyle w:val="TableTextSmall"/>
              <w:keepNext/>
              <w:jc w:val="right"/>
            </w:pPr>
            <w:r w:rsidRPr="00AD77C0">
              <w:t xml:space="preserve"> 587,468 </w:t>
            </w:r>
          </w:p>
        </w:tc>
      </w:tr>
      <w:tr w:rsidR="00CD3D8B" w:rsidTr="006916CE">
        <w:tc>
          <w:tcPr>
            <w:tcW w:w="1148" w:type="pct"/>
            <w:vAlign w:val="center"/>
          </w:tcPr>
          <w:p w:rsidR="00CD3D8B" w:rsidRDefault="00CD3D8B" w:rsidP="0089081A">
            <w:pPr>
              <w:pStyle w:val="TableTextSmall"/>
              <w:keepNext/>
            </w:pPr>
            <w:r>
              <w:rPr>
                <w:color w:val="000000"/>
                <w:szCs w:val="16"/>
              </w:rPr>
              <w:t>Scoria</w:t>
            </w:r>
          </w:p>
        </w:tc>
        <w:tc>
          <w:tcPr>
            <w:tcW w:w="403" w:type="pct"/>
            <w:vAlign w:val="center"/>
          </w:tcPr>
          <w:p w:rsidR="00CD3D8B" w:rsidRPr="00AD77C0" w:rsidRDefault="00CD3D8B">
            <w:pPr>
              <w:pStyle w:val="TableTextSmall"/>
              <w:keepNext/>
              <w:jc w:val="right"/>
            </w:pPr>
            <w:r w:rsidRPr="00313ED9">
              <w:t xml:space="preserve"> 21,927 </w:t>
            </w:r>
          </w:p>
        </w:tc>
        <w:tc>
          <w:tcPr>
            <w:tcW w:w="454" w:type="pct"/>
            <w:vAlign w:val="center"/>
          </w:tcPr>
          <w:p w:rsidR="00CD3D8B" w:rsidRDefault="00CD3D8B">
            <w:pPr>
              <w:pStyle w:val="TableTextSmall"/>
              <w:keepNext/>
              <w:jc w:val="right"/>
              <w:rPr>
                <w:color w:val="000000"/>
                <w:szCs w:val="16"/>
              </w:rPr>
            </w:pPr>
            <w:r w:rsidRPr="00AD77C0">
              <w:t xml:space="preserve"> 25,962 </w:t>
            </w:r>
          </w:p>
        </w:tc>
        <w:tc>
          <w:tcPr>
            <w:tcW w:w="454" w:type="pct"/>
            <w:vAlign w:val="center"/>
          </w:tcPr>
          <w:p w:rsidR="00CD3D8B" w:rsidRDefault="00CD3D8B">
            <w:pPr>
              <w:pStyle w:val="TableTextSmall"/>
              <w:keepNext/>
              <w:jc w:val="right"/>
            </w:pPr>
            <w:r w:rsidRPr="00AD77C0">
              <w:t xml:space="preserve"> 261,086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26,533 </w:t>
            </w:r>
          </w:p>
        </w:tc>
        <w:tc>
          <w:tcPr>
            <w:tcW w:w="532" w:type="pct"/>
            <w:vAlign w:val="center"/>
          </w:tcPr>
          <w:p w:rsidR="00CD3D8B" w:rsidRDefault="00CD3D8B">
            <w:pPr>
              <w:pStyle w:val="TableTextSmall"/>
              <w:keepNext/>
              <w:jc w:val="right"/>
            </w:pPr>
            <w:r w:rsidRPr="00AD77C0">
              <w:t xml:space="preserve"> 46,402 </w:t>
            </w:r>
          </w:p>
        </w:tc>
        <w:tc>
          <w:tcPr>
            <w:tcW w:w="532" w:type="pct"/>
            <w:vAlign w:val="center"/>
          </w:tcPr>
          <w:p w:rsidR="00CD3D8B" w:rsidRPr="0010340C" w:rsidRDefault="00CD3D8B">
            <w:pPr>
              <w:pStyle w:val="TableTextSmall"/>
              <w:keepNext/>
              <w:jc w:val="right"/>
            </w:pPr>
            <w:r w:rsidRPr="00AD77C0">
              <w:t xml:space="preserve"> 898,882 </w:t>
            </w:r>
          </w:p>
        </w:tc>
        <w:tc>
          <w:tcPr>
            <w:tcW w:w="539" w:type="pct"/>
            <w:vAlign w:val="center"/>
          </w:tcPr>
          <w:p w:rsidR="00CD3D8B" w:rsidRDefault="00CD3D8B">
            <w:pPr>
              <w:pStyle w:val="TableTextSmall"/>
              <w:keepNext/>
              <w:jc w:val="right"/>
            </w:pPr>
            <w:r w:rsidRPr="00AD77C0">
              <w:t xml:space="preserve"> 280,605,955 </w:t>
            </w:r>
          </w:p>
        </w:tc>
      </w:tr>
      <w:tr w:rsidR="00CD3D8B" w:rsidTr="006916CE">
        <w:tc>
          <w:tcPr>
            <w:tcW w:w="1148" w:type="pct"/>
            <w:vAlign w:val="center"/>
          </w:tcPr>
          <w:p w:rsidR="00CD3D8B" w:rsidRDefault="00CD3D8B" w:rsidP="0089081A">
            <w:pPr>
              <w:pStyle w:val="TableTextSmall"/>
              <w:keepNext/>
            </w:pPr>
            <w:r>
              <w:rPr>
                <w:color w:val="000000"/>
                <w:szCs w:val="16"/>
              </w:rPr>
              <w:t>Sedimentary (usually rippable rocks incl. sandstone, shale, siltstone chert, mudstone, claystone)</w:t>
            </w:r>
          </w:p>
        </w:tc>
        <w:tc>
          <w:tcPr>
            <w:tcW w:w="403" w:type="pct"/>
            <w:vAlign w:val="center"/>
          </w:tcPr>
          <w:p w:rsidR="00CD3D8B" w:rsidRPr="00AD77C0" w:rsidRDefault="00CD3D8B">
            <w:pPr>
              <w:pStyle w:val="TableTextSmall"/>
              <w:keepNext/>
              <w:jc w:val="right"/>
            </w:pPr>
            <w:r w:rsidRPr="00313ED9">
              <w:t xml:space="preserve"> 82,401 </w:t>
            </w:r>
          </w:p>
        </w:tc>
        <w:tc>
          <w:tcPr>
            <w:tcW w:w="454" w:type="pct"/>
            <w:vAlign w:val="center"/>
          </w:tcPr>
          <w:p w:rsidR="00CD3D8B" w:rsidRDefault="00CD3D8B">
            <w:pPr>
              <w:pStyle w:val="TableTextSmall"/>
              <w:keepNext/>
              <w:jc w:val="right"/>
              <w:rPr>
                <w:color w:val="000000"/>
                <w:szCs w:val="16"/>
              </w:rPr>
            </w:pPr>
            <w:r w:rsidRPr="00AD77C0">
              <w:t xml:space="preserve"> 103,388 </w:t>
            </w:r>
          </w:p>
        </w:tc>
        <w:tc>
          <w:tcPr>
            <w:tcW w:w="454" w:type="pct"/>
            <w:vAlign w:val="center"/>
          </w:tcPr>
          <w:p w:rsidR="00CD3D8B" w:rsidRDefault="00CD3D8B">
            <w:pPr>
              <w:pStyle w:val="TableTextSmall"/>
              <w:keepNext/>
              <w:jc w:val="right"/>
            </w:pPr>
            <w:r w:rsidRPr="00AD77C0">
              <w:t xml:space="preserve"> 1,024,421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105,819 </w:t>
            </w:r>
          </w:p>
        </w:tc>
        <w:tc>
          <w:tcPr>
            <w:tcW w:w="532" w:type="pct"/>
            <w:vAlign w:val="center"/>
          </w:tcPr>
          <w:p w:rsidR="00CD3D8B" w:rsidRDefault="00CD3D8B">
            <w:pPr>
              <w:pStyle w:val="TableTextSmall"/>
              <w:keepNext/>
              <w:jc w:val="right"/>
            </w:pPr>
            <w:r w:rsidRPr="00AD77C0">
              <w:t xml:space="preserve"> 190,332 </w:t>
            </w:r>
          </w:p>
        </w:tc>
        <w:tc>
          <w:tcPr>
            <w:tcW w:w="532" w:type="pct"/>
            <w:vAlign w:val="center"/>
          </w:tcPr>
          <w:p w:rsidR="00CD3D8B" w:rsidRPr="0010340C" w:rsidRDefault="00CD3D8B">
            <w:pPr>
              <w:pStyle w:val="TableTextSmall"/>
              <w:keepNext/>
              <w:jc w:val="right"/>
            </w:pPr>
            <w:r w:rsidRPr="00AD77C0">
              <w:t xml:space="preserve"> 3,647,944 </w:t>
            </w:r>
          </w:p>
        </w:tc>
        <w:tc>
          <w:tcPr>
            <w:tcW w:w="539" w:type="pct"/>
            <w:vAlign w:val="center"/>
          </w:tcPr>
          <w:p w:rsidR="00CD3D8B" w:rsidRDefault="00CD3D8B">
            <w:pPr>
              <w:pStyle w:val="TableTextSmall"/>
              <w:keepNext/>
              <w:jc w:val="right"/>
            </w:pPr>
            <w:r w:rsidRPr="00AD77C0">
              <w:t xml:space="preserve"> 57,353,763 </w:t>
            </w:r>
          </w:p>
        </w:tc>
      </w:tr>
      <w:tr w:rsidR="00CD3D8B" w:rsidTr="006916CE">
        <w:tc>
          <w:tcPr>
            <w:tcW w:w="1148" w:type="pct"/>
            <w:vAlign w:val="center"/>
          </w:tcPr>
          <w:p w:rsidR="00CD3D8B" w:rsidRDefault="00CD3D8B" w:rsidP="0089081A">
            <w:pPr>
              <w:pStyle w:val="TableTextSmall"/>
              <w:keepNext/>
            </w:pPr>
            <w:r>
              <w:rPr>
                <w:color w:val="000000"/>
                <w:szCs w:val="16"/>
              </w:rPr>
              <w:t>Slate</w:t>
            </w:r>
          </w:p>
        </w:tc>
        <w:tc>
          <w:tcPr>
            <w:tcW w:w="403" w:type="pct"/>
            <w:vAlign w:val="center"/>
          </w:tcPr>
          <w:p w:rsidR="00CD3D8B" w:rsidRPr="00AD77C0" w:rsidRDefault="00CD3D8B">
            <w:pPr>
              <w:pStyle w:val="TableTextSmall"/>
              <w:keepNext/>
              <w:jc w:val="right"/>
            </w:pPr>
            <w:r w:rsidRPr="00313ED9">
              <w:t xml:space="preserve"> 1,011 </w:t>
            </w:r>
          </w:p>
        </w:tc>
        <w:tc>
          <w:tcPr>
            <w:tcW w:w="454" w:type="pct"/>
            <w:vAlign w:val="center"/>
          </w:tcPr>
          <w:p w:rsidR="00CD3D8B" w:rsidRDefault="00CD3D8B">
            <w:pPr>
              <w:pStyle w:val="TableTextSmall"/>
              <w:keepNext/>
              <w:jc w:val="right"/>
              <w:rPr>
                <w:color w:val="000000"/>
                <w:szCs w:val="16"/>
              </w:rPr>
            </w:pPr>
            <w:r w:rsidRPr="00AD77C0">
              <w:t xml:space="preserve"> 1,203 </w:t>
            </w:r>
          </w:p>
        </w:tc>
        <w:tc>
          <w:tcPr>
            <w:tcW w:w="454" w:type="pct"/>
            <w:vAlign w:val="center"/>
          </w:tcPr>
          <w:p w:rsidR="00CD3D8B" w:rsidRDefault="00CD3D8B">
            <w:pPr>
              <w:pStyle w:val="TableTextSmall"/>
              <w:keepNext/>
              <w:jc w:val="right"/>
            </w:pPr>
            <w:r w:rsidRPr="00AD77C0">
              <w:t xml:space="preserve"> 11,933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1,226 </w:t>
            </w:r>
          </w:p>
        </w:tc>
        <w:tc>
          <w:tcPr>
            <w:tcW w:w="532" w:type="pct"/>
            <w:vAlign w:val="center"/>
          </w:tcPr>
          <w:p w:rsidR="00CD3D8B" w:rsidRDefault="00CD3D8B">
            <w:pPr>
              <w:pStyle w:val="TableTextSmall"/>
              <w:keepNext/>
              <w:jc w:val="right"/>
            </w:pPr>
            <w:r w:rsidRPr="00AD77C0">
              <w:t xml:space="preserve"> 2,078 </w:t>
            </w:r>
          </w:p>
        </w:tc>
        <w:tc>
          <w:tcPr>
            <w:tcW w:w="532" w:type="pct"/>
            <w:vAlign w:val="center"/>
          </w:tcPr>
          <w:p w:rsidR="00CD3D8B" w:rsidRPr="0010340C" w:rsidRDefault="00CD3D8B">
            <w:pPr>
              <w:pStyle w:val="TableTextSmall"/>
              <w:keepNext/>
              <w:jc w:val="right"/>
            </w:pPr>
            <w:r w:rsidRPr="00AD77C0">
              <w:t xml:space="preserve"> 40,710 </w:t>
            </w:r>
          </w:p>
        </w:tc>
        <w:tc>
          <w:tcPr>
            <w:tcW w:w="539" w:type="pct"/>
            <w:vAlign w:val="center"/>
          </w:tcPr>
          <w:p w:rsidR="00CD3D8B" w:rsidRDefault="00CD3D8B">
            <w:pPr>
              <w:pStyle w:val="TableTextSmall"/>
              <w:keepNext/>
              <w:jc w:val="right"/>
            </w:pPr>
            <w:r w:rsidRPr="00AD77C0">
              <w:t xml:space="preserve"> 1,142,984 </w:t>
            </w:r>
          </w:p>
        </w:tc>
      </w:tr>
      <w:tr w:rsidR="00CD3D8B" w:rsidTr="006916CE">
        <w:tc>
          <w:tcPr>
            <w:tcW w:w="1148" w:type="pct"/>
            <w:vAlign w:val="center"/>
          </w:tcPr>
          <w:p w:rsidR="00CD3D8B" w:rsidRDefault="00CD3D8B" w:rsidP="0089081A">
            <w:pPr>
              <w:pStyle w:val="TableTextSmall"/>
              <w:keepNext/>
            </w:pPr>
            <w:r>
              <w:rPr>
                <w:color w:val="000000"/>
                <w:szCs w:val="16"/>
              </w:rPr>
              <w:t>Tuff</w:t>
            </w:r>
          </w:p>
        </w:tc>
        <w:tc>
          <w:tcPr>
            <w:tcW w:w="403" w:type="pct"/>
            <w:vAlign w:val="center"/>
          </w:tcPr>
          <w:p w:rsidR="00CD3D8B" w:rsidRPr="00AD77C0" w:rsidRDefault="00CD3D8B">
            <w:pPr>
              <w:pStyle w:val="TableTextSmall"/>
              <w:keepNext/>
              <w:jc w:val="right"/>
            </w:pPr>
            <w:r w:rsidRPr="00313ED9">
              <w:t xml:space="preserve"> 2,833 </w:t>
            </w:r>
          </w:p>
        </w:tc>
        <w:tc>
          <w:tcPr>
            <w:tcW w:w="454" w:type="pct"/>
            <w:vAlign w:val="center"/>
          </w:tcPr>
          <w:p w:rsidR="00CD3D8B" w:rsidRDefault="00CD3D8B">
            <w:pPr>
              <w:pStyle w:val="TableTextSmall"/>
              <w:keepNext/>
              <w:jc w:val="right"/>
              <w:rPr>
                <w:color w:val="000000"/>
                <w:szCs w:val="16"/>
              </w:rPr>
            </w:pPr>
            <w:r w:rsidRPr="00AD77C0">
              <w:t xml:space="preserve"> 3,783 </w:t>
            </w:r>
          </w:p>
        </w:tc>
        <w:tc>
          <w:tcPr>
            <w:tcW w:w="454" w:type="pct"/>
            <w:vAlign w:val="center"/>
          </w:tcPr>
          <w:p w:rsidR="00CD3D8B" w:rsidRDefault="00CD3D8B">
            <w:pPr>
              <w:pStyle w:val="TableTextSmall"/>
              <w:keepNext/>
              <w:jc w:val="right"/>
            </w:pPr>
            <w:r w:rsidRPr="00AD77C0">
              <w:t xml:space="preserve"> 35,100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3,849 </w:t>
            </w:r>
          </w:p>
        </w:tc>
        <w:tc>
          <w:tcPr>
            <w:tcW w:w="532" w:type="pct"/>
            <w:vAlign w:val="center"/>
          </w:tcPr>
          <w:p w:rsidR="00CD3D8B" w:rsidRDefault="00CD3D8B">
            <w:pPr>
              <w:pStyle w:val="TableTextSmall"/>
              <w:keepNext/>
              <w:jc w:val="right"/>
            </w:pPr>
            <w:r w:rsidRPr="00AD77C0">
              <w:t xml:space="preserve"> 8,413 </w:t>
            </w:r>
          </w:p>
        </w:tc>
        <w:tc>
          <w:tcPr>
            <w:tcW w:w="532" w:type="pct"/>
            <w:vAlign w:val="center"/>
          </w:tcPr>
          <w:p w:rsidR="00CD3D8B" w:rsidRPr="0010340C" w:rsidRDefault="00CD3D8B">
            <w:pPr>
              <w:pStyle w:val="TableTextSmall"/>
              <w:keepNext/>
              <w:jc w:val="right"/>
            </w:pPr>
            <w:r w:rsidRPr="00AD77C0">
              <w:t xml:space="preserve"> 159,151 </w:t>
            </w:r>
          </w:p>
        </w:tc>
        <w:tc>
          <w:tcPr>
            <w:tcW w:w="539" w:type="pct"/>
            <w:vAlign w:val="center"/>
          </w:tcPr>
          <w:p w:rsidR="00CD3D8B" w:rsidRDefault="00CD3D8B">
            <w:pPr>
              <w:pStyle w:val="TableTextSmall"/>
              <w:keepNext/>
              <w:jc w:val="right"/>
            </w:pPr>
            <w:r w:rsidRPr="00AD77C0">
              <w:t xml:space="preserve"> 8,855,252 </w:t>
            </w:r>
          </w:p>
        </w:tc>
      </w:tr>
      <w:tr w:rsidR="00CD3D8B" w:rsidTr="006916CE">
        <w:tc>
          <w:tcPr>
            <w:tcW w:w="1148" w:type="pct"/>
            <w:vAlign w:val="center"/>
          </w:tcPr>
          <w:p w:rsidR="00CD3D8B" w:rsidRDefault="00CD3D8B" w:rsidP="0089081A">
            <w:pPr>
              <w:pStyle w:val="TableTextSmall"/>
              <w:keepNext/>
            </w:pPr>
            <w:r>
              <w:rPr>
                <w:color w:val="000000"/>
                <w:szCs w:val="16"/>
              </w:rPr>
              <w:t>Clay and Clay Shale</w:t>
            </w:r>
          </w:p>
        </w:tc>
        <w:tc>
          <w:tcPr>
            <w:tcW w:w="403" w:type="pct"/>
            <w:vAlign w:val="center"/>
          </w:tcPr>
          <w:p w:rsidR="00CD3D8B" w:rsidRPr="00AD77C0" w:rsidRDefault="00CD3D8B">
            <w:pPr>
              <w:pStyle w:val="TableTextSmall"/>
              <w:keepNext/>
              <w:jc w:val="right"/>
            </w:pPr>
            <w:r w:rsidRPr="00313ED9">
              <w:t xml:space="preserve"> 1,876,096 </w:t>
            </w:r>
          </w:p>
        </w:tc>
        <w:tc>
          <w:tcPr>
            <w:tcW w:w="454" w:type="pct"/>
            <w:vAlign w:val="center"/>
          </w:tcPr>
          <w:p w:rsidR="00CD3D8B" w:rsidRDefault="00CD3D8B">
            <w:pPr>
              <w:pStyle w:val="TableTextSmall"/>
              <w:keepNext/>
              <w:jc w:val="right"/>
              <w:rPr>
                <w:color w:val="000000"/>
                <w:szCs w:val="16"/>
              </w:rPr>
            </w:pPr>
            <w:r w:rsidRPr="00AD77C0">
              <w:t xml:space="preserve"> 1,969,958 </w:t>
            </w:r>
          </w:p>
        </w:tc>
        <w:tc>
          <w:tcPr>
            <w:tcW w:w="454" w:type="pct"/>
            <w:vAlign w:val="center"/>
          </w:tcPr>
          <w:p w:rsidR="00CD3D8B" w:rsidRDefault="00CD3D8B">
            <w:pPr>
              <w:pStyle w:val="TableTextSmall"/>
              <w:keepNext/>
              <w:jc w:val="right"/>
            </w:pPr>
            <w:r w:rsidRPr="00AD77C0">
              <w:t xml:space="preserve"> 21,909,738 </w:t>
            </w:r>
          </w:p>
        </w:tc>
        <w:tc>
          <w:tcPr>
            <w:tcW w:w="502" w:type="pct"/>
            <w:vAlign w:val="center"/>
          </w:tcPr>
          <w:p w:rsidR="00CD3D8B" w:rsidRPr="007B3C9A" w:rsidRDefault="00CD3D8B">
            <w:pPr>
              <w:pStyle w:val="TableTextSmall"/>
              <w:keepNext/>
              <w:jc w:val="right"/>
            </w:pPr>
            <w:r w:rsidRPr="001D5E25">
              <w:t xml:space="preserve"> 11 </w:t>
            </w:r>
          </w:p>
        </w:tc>
        <w:tc>
          <w:tcPr>
            <w:tcW w:w="435" w:type="pct"/>
            <w:vAlign w:val="center"/>
          </w:tcPr>
          <w:p w:rsidR="00CD3D8B" w:rsidRPr="00AD77C0" w:rsidRDefault="00CD3D8B">
            <w:pPr>
              <w:pStyle w:val="TableTextSmall"/>
              <w:keepNext/>
              <w:jc w:val="right"/>
            </w:pPr>
            <w:r w:rsidRPr="007B3C9A">
              <w:t xml:space="preserve"> 2,012,857 </w:t>
            </w:r>
          </w:p>
        </w:tc>
        <w:tc>
          <w:tcPr>
            <w:tcW w:w="532" w:type="pct"/>
            <w:vAlign w:val="center"/>
          </w:tcPr>
          <w:p w:rsidR="00CD3D8B" w:rsidRDefault="00CD3D8B">
            <w:pPr>
              <w:pStyle w:val="TableTextSmall"/>
              <w:keepNext/>
              <w:jc w:val="right"/>
            </w:pPr>
            <w:r w:rsidRPr="00AD77C0">
              <w:t xml:space="preserve"> 2,480,649 </w:t>
            </w:r>
          </w:p>
        </w:tc>
        <w:tc>
          <w:tcPr>
            <w:tcW w:w="532" w:type="pct"/>
            <w:vAlign w:val="center"/>
          </w:tcPr>
          <w:p w:rsidR="00CD3D8B" w:rsidRPr="0010340C" w:rsidRDefault="00CD3D8B">
            <w:pPr>
              <w:pStyle w:val="TableTextSmall"/>
              <w:keepNext/>
              <w:jc w:val="right"/>
            </w:pPr>
            <w:r w:rsidRPr="00AD77C0">
              <w:t xml:space="preserve"> 53,564,147 </w:t>
            </w:r>
          </w:p>
        </w:tc>
        <w:tc>
          <w:tcPr>
            <w:tcW w:w="539" w:type="pct"/>
            <w:vAlign w:val="center"/>
          </w:tcPr>
          <w:p w:rsidR="00CD3D8B" w:rsidRDefault="00CD3D8B">
            <w:pPr>
              <w:pStyle w:val="TableTextSmall"/>
              <w:keepNext/>
              <w:jc w:val="right"/>
            </w:pPr>
            <w:r w:rsidRPr="00AD77C0">
              <w:t xml:space="preserve"> 5,915,695 </w:t>
            </w:r>
          </w:p>
        </w:tc>
      </w:tr>
      <w:tr w:rsidR="00CD3D8B" w:rsidTr="006916CE">
        <w:tc>
          <w:tcPr>
            <w:tcW w:w="1148" w:type="pct"/>
            <w:vAlign w:val="center"/>
          </w:tcPr>
          <w:p w:rsidR="00CD3D8B" w:rsidRDefault="00CD3D8B" w:rsidP="0089081A">
            <w:pPr>
              <w:pStyle w:val="TableTextSmall"/>
              <w:keepNext/>
            </w:pPr>
            <w:r>
              <w:rPr>
                <w:color w:val="000000"/>
                <w:szCs w:val="16"/>
              </w:rPr>
              <w:t>Limestone (incl. limesand)</w:t>
            </w:r>
          </w:p>
        </w:tc>
        <w:tc>
          <w:tcPr>
            <w:tcW w:w="403" w:type="pct"/>
            <w:vAlign w:val="center"/>
          </w:tcPr>
          <w:p w:rsidR="00CD3D8B" w:rsidRPr="00AD77C0" w:rsidRDefault="00CD3D8B">
            <w:pPr>
              <w:pStyle w:val="TableTextSmall"/>
              <w:keepNext/>
              <w:jc w:val="right"/>
            </w:pPr>
            <w:r w:rsidRPr="00313ED9">
              <w:t xml:space="preserve"> 2,788,886 </w:t>
            </w:r>
          </w:p>
        </w:tc>
        <w:tc>
          <w:tcPr>
            <w:tcW w:w="454" w:type="pct"/>
            <w:vAlign w:val="center"/>
          </w:tcPr>
          <w:p w:rsidR="00CD3D8B" w:rsidRDefault="00CD3D8B">
            <w:pPr>
              <w:pStyle w:val="TableTextSmall"/>
              <w:keepNext/>
              <w:jc w:val="right"/>
              <w:rPr>
                <w:color w:val="000000"/>
                <w:szCs w:val="16"/>
              </w:rPr>
            </w:pPr>
            <w:r w:rsidRPr="00AD77C0">
              <w:t xml:space="preserve"> 3,649,145 </w:t>
            </w:r>
          </w:p>
        </w:tc>
        <w:tc>
          <w:tcPr>
            <w:tcW w:w="454" w:type="pct"/>
            <w:vAlign w:val="center"/>
          </w:tcPr>
          <w:p w:rsidR="00CD3D8B" w:rsidRDefault="00CD3D8B">
            <w:pPr>
              <w:pStyle w:val="TableTextSmall"/>
              <w:keepNext/>
              <w:jc w:val="right"/>
            </w:pPr>
            <w:r w:rsidRPr="00AD77C0">
              <w:t xml:space="preserve"> 35,184,823 </w:t>
            </w:r>
          </w:p>
        </w:tc>
        <w:tc>
          <w:tcPr>
            <w:tcW w:w="502" w:type="pct"/>
            <w:vAlign w:val="center"/>
          </w:tcPr>
          <w:p w:rsidR="00CD3D8B" w:rsidRPr="007B3C9A" w:rsidRDefault="00CD3D8B">
            <w:pPr>
              <w:pStyle w:val="TableTextSmall"/>
              <w:keepNext/>
              <w:jc w:val="right"/>
            </w:pPr>
            <w:r w:rsidRPr="001D5E25">
              <w:t xml:space="preserve"> 30 </w:t>
            </w:r>
          </w:p>
        </w:tc>
        <w:tc>
          <w:tcPr>
            <w:tcW w:w="435" w:type="pct"/>
            <w:vAlign w:val="center"/>
          </w:tcPr>
          <w:p w:rsidR="00CD3D8B" w:rsidRPr="00AD77C0" w:rsidRDefault="00CD3D8B">
            <w:pPr>
              <w:pStyle w:val="TableTextSmall"/>
              <w:keepNext/>
              <w:jc w:val="right"/>
            </w:pPr>
            <w:r w:rsidRPr="007B3C9A">
              <w:t xml:space="preserve"> 3,749,497 </w:t>
            </w:r>
          </w:p>
        </w:tc>
        <w:tc>
          <w:tcPr>
            <w:tcW w:w="532" w:type="pct"/>
            <w:vAlign w:val="center"/>
          </w:tcPr>
          <w:p w:rsidR="00CD3D8B" w:rsidRDefault="00CD3D8B">
            <w:pPr>
              <w:pStyle w:val="TableTextSmall"/>
              <w:keepNext/>
              <w:jc w:val="right"/>
            </w:pPr>
            <w:r w:rsidRPr="00AD77C0">
              <w:t xml:space="preserve"> 7,190,133 </w:t>
            </w:r>
          </w:p>
        </w:tc>
        <w:tc>
          <w:tcPr>
            <w:tcW w:w="532" w:type="pct"/>
            <w:vAlign w:val="center"/>
          </w:tcPr>
          <w:p w:rsidR="00CD3D8B" w:rsidRPr="0010340C" w:rsidRDefault="00CD3D8B">
            <w:pPr>
              <w:pStyle w:val="TableTextSmall"/>
              <w:keepNext/>
              <w:jc w:val="right"/>
            </w:pPr>
            <w:r w:rsidRPr="00AD77C0">
              <w:t xml:space="preserve"> 132,304,170 </w:t>
            </w:r>
          </w:p>
        </w:tc>
        <w:tc>
          <w:tcPr>
            <w:tcW w:w="539" w:type="pct"/>
            <w:vAlign w:val="center"/>
          </w:tcPr>
          <w:p w:rsidR="00CD3D8B" w:rsidRDefault="00CD3D8B">
            <w:pPr>
              <w:pStyle w:val="TableTextSmall"/>
              <w:keepNext/>
              <w:jc w:val="right"/>
            </w:pPr>
            <w:r w:rsidRPr="00AD77C0">
              <w:t xml:space="preserve"> 57,361,873 </w:t>
            </w:r>
          </w:p>
        </w:tc>
      </w:tr>
      <w:tr w:rsidR="00CD3D8B" w:rsidTr="006916CE">
        <w:tc>
          <w:tcPr>
            <w:tcW w:w="1148" w:type="pct"/>
            <w:vAlign w:val="center"/>
          </w:tcPr>
          <w:p w:rsidR="00CD3D8B" w:rsidRDefault="00CD3D8B" w:rsidP="0089081A">
            <w:pPr>
              <w:pStyle w:val="TableTextSmall"/>
              <w:keepNext/>
            </w:pPr>
            <w:r>
              <w:rPr>
                <w:color w:val="000000"/>
                <w:szCs w:val="16"/>
              </w:rPr>
              <w:t>Sand and Gravel (naturally occurring gravels, not crushed sedimentary rocks)</w:t>
            </w:r>
          </w:p>
        </w:tc>
        <w:tc>
          <w:tcPr>
            <w:tcW w:w="403" w:type="pct"/>
            <w:vAlign w:val="center"/>
          </w:tcPr>
          <w:p w:rsidR="00CD3D8B" w:rsidRPr="00AD77C0" w:rsidRDefault="00CD3D8B">
            <w:pPr>
              <w:pStyle w:val="TableTextSmall"/>
              <w:keepNext/>
              <w:jc w:val="right"/>
            </w:pPr>
            <w:r w:rsidRPr="00313ED9">
              <w:t xml:space="preserve"> 14,959,208 </w:t>
            </w:r>
          </w:p>
        </w:tc>
        <w:tc>
          <w:tcPr>
            <w:tcW w:w="454" w:type="pct"/>
            <w:vAlign w:val="center"/>
          </w:tcPr>
          <w:p w:rsidR="00CD3D8B" w:rsidRDefault="00CD3D8B">
            <w:pPr>
              <w:pStyle w:val="TableTextSmall"/>
              <w:keepNext/>
              <w:jc w:val="right"/>
              <w:rPr>
                <w:color w:val="000000"/>
                <w:szCs w:val="16"/>
              </w:rPr>
            </w:pPr>
            <w:r w:rsidRPr="00AD77C0">
              <w:t xml:space="preserve"> 15,707,629 </w:t>
            </w:r>
          </w:p>
        </w:tc>
        <w:tc>
          <w:tcPr>
            <w:tcW w:w="454" w:type="pct"/>
            <w:vAlign w:val="center"/>
          </w:tcPr>
          <w:p w:rsidR="00CD3D8B" w:rsidRDefault="00CD3D8B">
            <w:pPr>
              <w:pStyle w:val="TableTextSmall"/>
              <w:keepNext/>
              <w:jc w:val="right"/>
            </w:pPr>
            <w:r w:rsidRPr="00AD77C0">
              <w:t xml:space="preserve"> 174,699,141 </w:t>
            </w:r>
          </w:p>
        </w:tc>
        <w:tc>
          <w:tcPr>
            <w:tcW w:w="502" w:type="pct"/>
            <w:vAlign w:val="center"/>
          </w:tcPr>
          <w:p w:rsidR="00CD3D8B" w:rsidRPr="007B3C9A" w:rsidRDefault="00CD3D8B">
            <w:pPr>
              <w:pStyle w:val="TableTextSmall"/>
              <w:keepNext/>
              <w:jc w:val="right"/>
            </w:pPr>
            <w:r w:rsidRPr="001D5E25">
              <w:t xml:space="preserve"> </w:t>
            </w:r>
            <w:r>
              <w:t>100+</w:t>
            </w:r>
            <w:r w:rsidRPr="001D5E25">
              <w:t xml:space="preserve"> </w:t>
            </w:r>
          </w:p>
        </w:tc>
        <w:tc>
          <w:tcPr>
            <w:tcW w:w="435" w:type="pct"/>
            <w:vAlign w:val="center"/>
          </w:tcPr>
          <w:p w:rsidR="00CD3D8B" w:rsidRPr="00AD77C0" w:rsidRDefault="00CD3D8B">
            <w:pPr>
              <w:pStyle w:val="TableTextSmall"/>
              <w:keepNext/>
              <w:jc w:val="right"/>
            </w:pPr>
            <w:r w:rsidRPr="007B3C9A">
              <w:t xml:space="preserve"> 16,049,685 </w:t>
            </w:r>
          </w:p>
        </w:tc>
        <w:tc>
          <w:tcPr>
            <w:tcW w:w="532" w:type="pct"/>
            <w:vAlign w:val="center"/>
          </w:tcPr>
          <w:p w:rsidR="00CD3D8B" w:rsidRDefault="00CD3D8B">
            <w:pPr>
              <w:pStyle w:val="TableTextSmall"/>
              <w:keepNext/>
              <w:jc w:val="right"/>
            </w:pPr>
            <w:r w:rsidRPr="00AD77C0">
              <w:t xml:space="preserve"> 19,779,666 </w:t>
            </w:r>
          </w:p>
        </w:tc>
        <w:tc>
          <w:tcPr>
            <w:tcW w:w="532" w:type="pct"/>
            <w:vAlign w:val="center"/>
          </w:tcPr>
          <w:p w:rsidR="00CD3D8B" w:rsidRPr="0010340C" w:rsidRDefault="00CD3D8B">
            <w:pPr>
              <w:pStyle w:val="TableTextSmall"/>
              <w:keepNext/>
              <w:jc w:val="right"/>
            </w:pPr>
            <w:r w:rsidRPr="00AD77C0">
              <w:t xml:space="preserve"> 427,098,236 </w:t>
            </w:r>
          </w:p>
        </w:tc>
        <w:tc>
          <w:tcPr>
            <w:tcW w:w="539" w:type="pct"/>
            <w:vAlign w:val="center"/>
          </w:tcPr>
          <w:p w:rsidR="00CD3D8B" w:rsidRDefault="00CD3D8B">
            <w:pPr>
              <w:pStyle w:val="TableTextSmall"/>
              <w:keepNext/>
              <w:jc w:val="right"/>
            </w:pPr>
            <w:r w:rsidRPr="00AD77C0">
              <w:t xml:space="preserve"> 9,016,088,024 </w:t>
            </w:r>
          </w:p>
        </w:tc>
      </w:tr>
    </w:tbl>
    <w:p w:rsidR="00AA767D" w:rsidRPr="006916CE" w:rsidRDefault="00190C2F" w:rsidP="006916CE">
      <w:pPr>
        <w:pStyle w:val="Address"/>
        <w:rPr>
          <w:color w:val="A32020" w:themeColor="accent1"/>
          <w:szCs w:val="16"/>
        </w:rPr>
      </w:pPr>
      <w:r w:rsidRPr="006916CE">
        <w:rPr>
          <w:i w:val="0"/>
          <w:color w:val="A32020" w:themeColor="accent1"/>
          <w:sz w:val="16"/>
          <w:szCs w:val="16"/>
        </w:rPr>
        <w:t xml:space="preserve">Source: </w:t>
      </w:r>
      <w:r w:rsidR="001C602F" w:rsidRPr="006916CE">
        <w:rPr>
          <w:i w:val="0"/>
          <w:color w:val="A32020" w:themeColor="accent1"/>
          <w:sz w:val="16"/>
          <w:szCs w:val="16"/>
        </w:rPr>
        <w:t xml:space="preserve">EY, Demand analysis of extractive resources in Victoria, 2016, </w:t>
      </w:r>
      <w:r w:rsidRPr="006916CE">
        <w:rPr>
          <w:i w:val="0"/>
          <w:color w:val="A32020" w:themeColor="accent1"/>
          <w:sz w:val="16"/>
          <w:szCs w:val="16"/>
        </w:rPr>
        <w:t>PwC analysis.</w:t>
      </w:r>
      <w:r w:rsidR="00CD3D8B" w:rsidRPr="006916CE">
        <w:rPr>
          <w:i w:val="0"/>
          <w:color w:val="A32020" w:themeColor="accent1"/>
          <w:sz w:val="16"/>
          <w:szCs w:val="16"/>
        </w:rPr>
        <w:t xml:space="preserve"> </w:t>
      </w:r>
    </w:p>
    <w:p w:rsidR="008C5489" w:rsidRPr="001714D9" w:rsidRDefault="008C5489" w:rsidP="008C5489">
      <w:pPr>
        <w:pStyle w:val="Address"/>
        <w:rPr>
          <w:i w:val="0"/>
          <w:color w:val="A32020" w:themeColor="accent1"/>
          <w:sz w:val="16"/>
          <w:szCs w:val="16"/>
        </w:rPr>
      </w:pPr>
      <w:r w:rsidRPr="001714D9">
        <w:rPr>
          <w:i w:val="0"/>
          <w:color w:val="A32020" w:themeColor="accent1"/>
          <w:sz w:val="16"/>
          <w:szCs w:val="16"/>
        </w:rPr>
        <w:t xml:space="preserve">* Based on 2025 demand level. </w:t>
      </w:r>
    </w:p>
    <w:p w:rsidR="00E93854" w:rsidRPr="006916CE" w:rsidRDefault="008C5489" w:rsidP="006916CE">
      <w:pPr>
        <w:pStyle w:val="Address"/>
        <w:sectPr w:rsidR="00E93854" w:rsidRPr="006916CE" w:rsidSect="001A7D05">
          <w:pgSz w:w="16840" w:h="11907" w:orient="landscape" w:code="9"/>
          <w:pgMar w:top="1843" w:right="1588" w:bottom="1843" w:left="1418" w:header="567" w:footer="567" w:gutter="0"/>
          <w:cols w:space="227"/>
          <w:docGrid w:linePitch="360"/>
        </w:sectPr>
      </w:pPr>
      <w:r w:rsidRPr="001714D9">
        <w:rPr>
          <w:i w:val="0"/>
          <w:color w:val="A32020" w:themeColor="accent1"/>
          <w:sz w:val="16"/>
          <w:szCs w:val="16"/>
        </w:rPr>
        <w:t>**Based on output from existing and planned quarries indicated at 2015.</w:t>
      </w:r>
      <w:r w:rsidR="003C0984">
        <w:rPr>
          <w:i w:val="0"/>
          <w:color w:val="A32020" w:themeColor="accent1"/>
          <w:sz w:val="16"/>
          <w:szCs w:val="16"/>
        </w:rPr>
        <w:br/>
        <w:t>***</w:t>
      </w:r>
      <w:r w:rsidR="003C0984" w:rsidRPr="003C0984">
        <w:t xml:space="preserve"> </w:t>
      </w:r>
      <w:r w:rsidR="003C0984" w:rsidRPr="003C0984">
        <w:rPr>
          <w:i w:val="0"/>
          <w:color w:val="A32020" w:themeColor="accent1"/>
          <w:sz w:val="16"/>
          <w:szCs w:val="16"/>
        </w:rPr>
        <w:t>Due to incorporation of</w:t>
      </w:r>
      <w:r w:rsidR="003C0984">
        <w:rPr>
          <w:i w:val="0"/>
          <w:color w:val="A32020" w:themeColor="accent1"/>
          <w:sz w:val="16"/>
          <w:szCs w:val="16"/>
        </w:rPr>
        <w:t xml:space="preserve"> reserves held in indicated</w:t>
      </w:r>
      <w:r w:rsidR="003C0984" w:rsidRPr="003C0984">
        <w:rPr>
          <w:i w:val="0"/>
          <w:color w:val="A32020" w:themeColor="accent1"/>
          <w:sz w:val="16"/>
          <w:szCs w:val="16"/>
        </w:rPr>
        <w:t xml:space="preserve"> variations to existing </w:t>
      </w:r>
      <w:r w:rsidR="003C0984">
        <w:rPr>
          <w:i w:val="0"/>
          <w:color w:val="A32020" w:themeColor="accent1"/>
          <w:sz w:val="16"/>
          <w:szCs w:val="16"/>
        </w:rPr>
        <w:t xml:space="preserve">WAs and </w:t>
      </w:r>
      <w:r w:rsidR="003C0984" w:rsidRPr="003C0984">
        <w:rPr>
          <w:i w:val="0"/>
          <w:color w:val="A32020" w:themeColor="accent1"/>
          <w:sz w:val="16"/>
          <w:szCs w:val="16"/>
        </w:rPr>
        <w:t>planned future quarries and licensed resources, reported remaining licensed reserve amounts may not align with cumulative production levels indicated</w:t>
      </w:r>
    </w:p>
    <w:p w:rsidR="004124C4" w:rsidRDefault="003C44C2" w:rsidP="007E3535">
      <w:pPr>
        <w:pStyle w:val="PwCNormal"/>
      </w:pPr>
      <w:r>
        <w:t xml:space="preserve">The </w:t>
      </w:r>
      <w:r w:rsidR="007E0DF1">
        <w:t xml:space="preserve">findings presented in </w:t>
      </w:r>
      <w:r w:rsidR="007E0DF1">
        <w:fldChar w:fldCharType="begin"/>
      </w:r>
      <w:r w:rsidR="007E0DF1">
        <w:instrText xml:space="preserve"> REF _Ref447782679 \h </w:instrText>
      </w:r>
      <w:r w:rsidR="007E0DF1">
        <w:fldChar w:fldCharType="separate"/>
      </w:r>
      <w:r w:rsidR="00E22E13">
        <w:t xml:space="preserve">Table </w:t>
      </w:r>
      <w:r w:rsidR="00E22E13">
        <w:rPr>
          <w:noProof/>
        </w:rPr>
        <w:t>8</w:t>
      </w:r>
      <w:r w:rsidR="007E0DF1">
        <w:fldChar w:fldCharType="end"/>
      </w:r>
      <w:r w:rsidR="007E0DF1">
        <w:t xml:space="preserve"> suggest </w:t>
      </w:r>
      <w:r>
        <w:t xml:space="preserve">that Victoria has close to sufficient resources held </w:t>
      </w:r>
      <w:r w:rsidR="00965E95">
        <w:t>with</w:t>
      </w:r>
      <w:r>
        <w:t>in current and planned future WAs to meet its extractive resource needs</w:t>
      </w:r>
      <w:r w:rsidR="00556EFE">
        <w:t xml:space="preserve"> to 2050</w:t>
      </w:r>
      <w:r w:rsidR="00B57BCD">
        <w:t>, noting potential constraints in licensing new reserves</w:t>
      </w:r>
      <w:r w:rsidR="004124C4">
        <w:t xml:space="preserve">. Constraints also exist on </w:t>
      </w:r>
      <w:r w:rsidR="00B57BCD">
        <w:t xml:space="preserve">maintaining or increasing production at </w:t>
      </w:r>
      <w:r w:rsidR="004124C4">
        <w:t>some existing quarries, however it is noted that significant productive flexibility has been exhibited in recent years in Victoria where the aggregate level of extractives production has varied considerably year on year.</w:t>
      </w:r>
    </w:p>
    <w:p w:rsidR="00D95355" w:rsidRDefault="00D95355" w:rsidP="007E3535">
      <w:pPr>
        <w:pStyle w:val="PwCNormal"/>
      </w:pPr>
      <w:r>
        <w:t>Other constraints that could limit the State’s ability to meet future demand include:</w:t>
      </w:r>
    </w:p>
    <w:p w:rsidR="00D95355" w:rsidRDefault="00D95355" w:rsidP="006916CE">
      <w:pPr>
        <w:pStyle w:val="ListBullet"/>
      </w:pPr>
      <w:r>
        <w:t xml:space="preserve">limited substitutability of resources for some product types, meaning some products may be less easily produced in </w:t>
      </w:r>
      <w:r w:rsidR="008C5489">
        <w:t xml:space="preserve">the </w:t>
      </w:r>
      <w:r>
        <w:t>future</w:t>
      </w:r>
    </w:p>
    <w:p w:rsidR="00D95355" w:rsidRDefault="00D95355" w:rsidP="006916CE">
      <w:pPr>
        <w:pStyle w:val="ListBullet"/>
      </w:pPr>
      <w:r>
        <w:t>varying quality of resource from different quarries, which suggests that different constraints could emerge for some products that require a higher-grade resource</w:t>
      </w:r>
    </w:p>
    <w:p w:rsidR="00D95355" w:rsidRDefault="00D95355" w:rsidP="006916CE">
      <w:pPr>
        <w:pStyle w:val="ListBullet"/>
      </w:pPr>
      <w:r>
        <w:t>future economic viability of individual quarries.</w:t>
      </w:r>
    </w:p>
    <w:p w:rsidR="007E3535" w:rsidRDefault="00B57BCD" w:rsidP="007E3535">
      <w:pPr>
        <w:pStyle w:val="PwCNormal"/>
      </w:pPr>
      <w:r>
        <w:t xml:space="preserve">Despite </w:t>
      </w:r>
      <w:r w:rsidR="004124C4">
        <w:t xml:space="preserve">the findings presented above, </w:t>
      </w:r>
      <w:r w:rsidR="007E0DF1">
        <w:t>a</w:t>
      </w:r>
      <w:r w:rsidR="007E3535">
        <w:t xml:space="preserve"> key component of the analysis relates</w:t>
      </w:r>
      <w:r w:rsidR="0032133E">
        <w:t xml:space="preserve"> </w:t>
      </w:r>
      <w:r w:rsidR="007E3535">
        <w:t xml:space="preserve">to understanding how transport distances and associated costs drive market outcomes for regions and locations within the State. </w:t>
      </w:r>
    </w:p>
    <w:p w:rsidR="003C44C2" w:rsidRDefault="00E8440C">
      <w:pPr>
        <w:pStyle w:val="PwCNormal"/>
      </w:pPr>
      <w:r>
        <w:t>Due to the</w:t>
      </w:r>
      <w:r w:rsidR="003C44C2">
        <w:t xml:space="preserve"> </w:t>
      </w:r>
      <w:r w:rsidR="00D041AE">
        <w:t>low value-to-weight</w:t>
      </w:r>
      <w:r w:rsidR="003C44C2">
        <w:t xml:space="preserve"> ratio</w:t>
      </w:r>
      <w:r>
        <w:t xml:space="preserve"> of extractive resources</w:t>
      </w:r>
      <w:r w:rsidR="003C44C2">
        <w:t xml:space="preserve">, transport costs can quickly overwhelm </w:t>
      </w:r>
      <w:r>
        <w:t xml:space="preserve">resource </w:t>
      </w:r>
      <w:r w:rsidR="003C44C2">
        <w:t xml:space="preserve">values when trucking distances grow too large. </w:t>
      </w:r>
      <w:r>
        <w:t xml:space="preserve">This means that it is generally </w:t>
      </w:r>
      <w:r w:rsidR="003C44C2">
        <w:t>inefficient to transport extractive resources across long distances</w:t>
      </w:r>
      <w:r>
        <w:t xml:space="preserve"> and users will instead seek more proximate sources or in some cases substitute resources.</w:t>
      </w:r>
      <w:r w:rsidR="003C44C2">
        <w:t xml:space="preserve"> </w:t>
      </w:r>
      <w:r>
        <w:t>Survey data collected from industry as part of the study supports this finding.</w:t>
      </w:r>
    </w:p>
    <w:p w:rsidR="00FC2ECA" w:rsidRDefault="00E8440C" w:rsidP="002075EF">
      <w:pPr>
        <w:pStyle w:val="PwCNormal"/>
      </w:pPr>
      <w:r>
        <w:t xml:space="preserve">These market realities have important implications for this </w:t>
      </w:r>
      <w:r w:rsidR="007E0DF1">
        <w:t>analysis</w:t>
      </w:r>
      <w:r>
        <w:t xml:space="preserve">, which has necessarily considered transport distances and costs in assessing how demand is met across Victoria’s geography. </w:t>
      </w:r>
      <w:r w:rsidR="0032133E">
        <w:t xml:space="preserve">To reflect the importance of these realities, the </w:t>
      </w:r>
      <w:r w:rsidR="007E0DF1">
        <w:t>study</w:t>
      </w:r>
      <w:r w:rsidR="0032133E">
        <w:t xml:space="preserve"> has applied several criteria to determine which resource locations </w:t>
      </w:r>
      <w:r w:rsidR="008C5489">
        <w:t>are</w:t>
      </w:r>
      <w:r w:rsidR="0032133E">
        <w:t xml:space="preserve"> critical to the State’s future; t</w:t>
      </w:r>
      <w:r w:rsidR="002075EF">
        <w:t xml:space="preserve">hese are considered in detail in </w:t>
      </w:r>
      <w:r w:rsidR="00CD3D8B">
        <w:t xml:space="preserve">Chapter </w:t>
      </w:r>
      <w:r w:rsidR="00CD3D8B">
        <w:fldChar w:fldCharType="begin"/>
      </w:r>
      <w:r w:rsidR="00CD3D8B">
        <w:instrText xml:space="preserve"> REF _Ref448247778 \n \h </w:instrText>
      </w:r>
      <w:r w:rsidR="00CD3D8B">
        <w:fldChar w:fldCharType="separate"/>
      </w:r>
      <w:r w:rsidR="00E22E13">
        <w:t>5</w:t>
      </w:r>
      <w:r w:rsidR="00CD3D8B">
        <w:fldChar w:fldCharType="end"/>
      </w:r>
    </w:p>
    <w:p w:rsidR="002D0E23" w:rsidRDefault="002D0E23" w:rsidP="002075EF">
      <w:pPr>
        <w:pStyle w:val="PwCNormal"/>
      </w:pPr>
      <w:r>
        <w:t>Several demand locations are also identified on the basis that they are likely to experience potentially limited supply in the future. These are discussed below.</w:t>
      </w:r>
    </w:p>
    <w:p w:rsidR="00B356C0" w:rsidRDefault="00B356C0" w:rsidP="006916CE">
      <w:pPr>
        <w:pStyle w:val="Heading6"/>
      </w:pPr>
      <w:bookmarkStart w:id="124" w:name="_Ref447702549"/>
      <w:r>
        <w:t xml:space="preserve">Demand locations facing </w:t>
      </w:r>
      <w:r w:rsidR="002D0E23">
        <w:t>potentially limited supply</w:t>
      </w:r>
      <w:bookmarkEnd w:id="124"/>
    </w:p>
    <w:p w:rsidR="00676B12" w:rsidRDefault="00965E95" w:rsidP="00417D11">
      <w:pPr>
        <w:pStyle w:val="PwCNormal"/>
      </w:pPr>
      <w:r>
        <w:t xml:space="preserve">Analysing the demand and supply for extractive resources on a location-by-location basis within Victoria reveals that numerous Victorian regions could </w:t>
      </w:r>
      <w:r w:rsidR="00676B12">
        <w:t>face limited supply of some materials within the period 2015</w:t>
      </w:r>
      <w:r w:rsidR="006925D6">
        <w:t xml:space="preserve"> to 20</w:t>
      </w:r>
      <w:r w:rsidR="00676B12">
        <w:t xml:space="preserve">50. This emerges due to exhaustion of current and planned future reserves based on the projected level of resource demand and industry intentions as indicated at 2015. </w:t>
      </w:r>
    </w:p>
    <w:p w:rsidR="000C1913" w:rsidRDefault="000C1913" w:rsidP="002D0E23">
      <w:pPr>
        <w:pStyle w:val="PwCNormal"/>
        <w:rPr>
          <w:b/>
          <w:i/>
          <w:color w:val="A32020" w:themeColor="text2"/>
        </w:rPr>
      </w:pPr>
      <w:r>
        <w:rPr>
          <w:b/>
          <w:i/>
          <w:color w:val="A32020" w:themeColor="text2"/>
        </w:rPr>
        <w:t>34 per cent o</w:t>
      </w:r>
      <w:r w:rsidRPr="000C1913">
        <w:rPr>
          <w:b/>
          <w:i/>
          <w:color w:val="A32020" w:themeColor="text2"/>
        </w:rPr>
        <w:t>f demand for extractives in 2050 will need to be sourced from different quarries to the ones currently indicated for use by the industry (</w:t>
      </w:r>
      <w:r w:rsidR="007301D8" w:rsidRPr="007301D8">
        <w:rPr>
          <w:b/>
          <w:i/>
          <w:color w:val="A32020" w:themeColor="text2"/>
        </w:rPr>
        <w:t>including expansion of current quarries and planned future quarries</w:t>
      </w:r>
      <w:r w:rsidRPr="000C1913">
        <w:rPr>
          <w:b/>
          <w:i/>
          <w:color w:val="A32020" w:themeColor="text2"/>
        </w:rPr>
        <w:t xml:space="preserve">), due to resource </w:t>
      </w:r>
      <w:r>
        <w:rPr>
          <w:b/>
          <w:i/>
          <w:color w:val="A32020" w:themeColor="text2"/>
        </w:rPr>
        <w:t>exhaustion</w:t>
      </w:r>
    </w:p>
    <w:p w:rsidR="002D0E23" w:rsidRDefault="002D0E23" w:rsidP="002D0E23">
      <w:pPr>
        <w:pStyle w:val="PwCNormal"/>
      </w:pPr>
      <w:r>
        <w:t>The following locations are identified as having levels of resource supply materially lower than demand. Th</w:t>
      </w:r>
      <w:r w:rsidR="002430E8">
        <w:t>e</w:t>
      </w:r>
      <w:r>
        <w:t xml:space="preserve"> </w:t>
      </w:r>
      <w:r w:rsidR="00D151D4">
        <w:t xml:space="preserve">results are presented </w:t>
      </w:r>
      <w:r>
        <w:t xml:space="preserve">across all rock types </w:t>
      </w:r>
      <w:r w:rsidR="00D151D4">
        <w:t>considering</w:t>
      </w:r>
      <w:r>
        <w:t xml:space="preserve"> supply levels from each individual WA</w:t>
      </w:r>
      <w:r w:rsidR="00A551C7">
        <w:t xml:space="preserve"> across Victoria</w:t>
      </w:r>
      <w:r w:rsidR="00E905B1">
        <w:t xml:space="preserve"> to the region identified</w:t>
      </w:r>
      <w:r w:rsidR="00D151D4">
        <w:t>.</w:t>
      </w:r>
    </w:p>
    <w:p w:rsidR="00D151D4" w:rsidRDefault="00D151D4" w:rsidP="006916CE">
      <w:pPr>
        <w:pStyle w:val="BlockText2Position"/>
      </w:pPr>
      <w:r>
        <w:t xml:space="preserve">A </w:t>
      </w:r>
      <w:r w:rsidRPr="006916CE">
        <w:rPr>
          <w:b/>
          <w:i/>
        </w:rPr>
        <w:t>potential supply shortfall</w:t>
      </w:r>
      <w:r>
        <w:t xml:space="preserve"> r</w:t>
      </w:r>
      <w:r w:rsidR="00B15100">
        <w:t>epresents the</w:t>
      </w:r>
      <w:r>
        <w:t xml:space="preserve"> difference between the </w:t>
      </w:r>
      <w:r w:rsidR="00B15100">
        <w:t>volume</w:t>
      </w:r>
      <w:r>
        <w:t xml:space="preserve"> of extractive resource</w:t>
      </w:r>
      <w:r w:rsidR="00B15100">
        <w:t>s</w:t>
      </w:r>
      <w:r>
        <w:t xml:space="preserve"> </w:t>
      </w:r>
      <w:r w:rsidR="00B15100">
        <w:t xml:space="preserve">a </w:t>
      </w:r>
      <w:r>
        <w:t xml:space="preserve">location </w:t>
      </w:r>
      <w:r w:rsidR="00B15100">
        <w:t>demands</w:t>
      </w:r>
      <w:r>
        <w:t xml:space="preserve"> and the supply it receives, for a given rock type </w:t>
      </w:r>
      <w:r w:rsidR="00AE7E0D">
        <w:t>in a given year</w:t>
      </w:r>
      <w:r>
        <w:t xml:space="preserve">. </w:t>
      </w:r>
    </w:p>
    <w:p w:rsidR="00D151D4" w:rsidRDefault="00D151D4" w:rsidP="002D0E23">
      <w:pPr>
        <w:pStyle w:val="PwCNormal"/>
      </w:pPr>
      <w:r>
        <w:t>Demand locations</w:t>
      </w:r>
      <w:r w:rsidR="00316378">
        <w:t xml:space="preserve"> can</w:t>
      </w:r>
      <w:r>
        <w:t xml:space="preserve"> receive supply from WAs in any LGA based on </w:t>
      </w:r>
      <w:r w:rsidR="00316378">
        <w:t>proximity</w:t>
      </w:r>
      <w:r>
        <w:t xml:space="preserve">, the rock type </w:t>
      </w:r>
      <w:r w:rsidR="00316378">
        <w:t>available</w:t>
      </w:r>
      <w:r>
        <w:t xml:space="preserve"> and </w:t>
      </w:r>
      <w:r w:rsidR="00316378">
        <w:t>production</w:t>
      </w:r>
      <w:r>
        <w:t xml:space="preserve">. As such, the shortfall does not represent the difference between demand and supply in a single LGA but rather the difference between its demand and the amount of supply coming from all potential supply locations in the State. </w:t>
      </w:r>
      <w:r w:rsidR="002430E8">
        <w:t xml:space="preserve">Potential shortfalls emerge where known current and planned future licensed reserves are insufficient to meet cumulative demand. </w:t>
      </w:r>
    </w:p>
    <w:p w:rsidR="002D0E23" w:rsidRDefault="002D0E23" w:rsidP="002D0E23">
      <w:pPr>
        <w:pStyle w:val="PwCNormal"/>
      </w:pPr>
      <w:r>
        <w:t xml:space="preserve">The regions are </w:t>
      </w:r>
      <w:r w:rsidR="003B6DA0">
        <w:t xml:space="preserve">identified </w:t>
      </w:r>
      <w:r>
        <w:t xml:space="preserve">from the standpoint of demand (‘the buyer’ of </w:t>
      </w:r>
      <w:r w:rsidR="003B6DA0">
        <w:t xml:space="preserve">the </w:t>
      </w:r>
      <w:r>
        <w:t>resource)</w:t>
      </w:r>
      <w:r w:rsidR="008517C7">
        <w:t xml:space="preserve">. These regions </w:t>
      </w:r>
      <w:r w:rsidR="00316378">
        <w:t>can</w:t>
      </w:r>
      <w:r>
        <w:t xml:space="preserve"> therefore </w:t>
      </w:r>
      <w:r w:rsidR="00316378">
        <w:t>expect</w:t>
      </w:r>
      <w:r w:rsidR="00EC75B2">
        <w:t xml:space="preserve"> to </w:t>
      </w:r>
      <w:r>
        <w:t xml:space="preserve">face </w:t>
      </w:r>
      <w:r w:rsidR="00EC75B2">
        <w:t xml:space="preserve">cost increases </w:t>
      </w:r>
      <w:r w:rsidR="008517C7">
        <w:t xml:space="preserve">if new resource deposits are not licensed in </w:t>
      </w:r>
      <w:r>
        <w:t xml:space="preserve">relative proximity. These cost increases would arise as a result of </w:t>
      </w:r>
      <w:r w:rsidR="00EC75B2">
        <w:t>increased transport costs, with potential flow-on impacts to resource prices</w:t>
      </w:r>
      <w:r>
        <w:t>.</w:t>
      </w:r>
    </w:p>
    <w:p w:rsidR="0001069A" w:rsidRDefault="0001069A" w:rsidP="006916CE">
      <w:pPr>
        <w:pStyle w:val="Heading7"/>
      </w:pPr>
      <w:r>
        <w:t>Potential alternative sources of material</w:t>
      </w:r>
    </w:p>
    <w:p w:rsidR="009A119F" w:rsidRDefault="009A119F" w:rsidP="006916CE">
      <w:pPr>
        <w:pStyle w:val="Minorheading3"/>
      </w:pPr>
      <w:r>
        <w:t>Licensing of new reserves</w:t>
      </w:r>
    </w:p>
    <w:p w:rsidR="002D0E23" w:rsidRDefault="002D0E23" w:rsidP="002D0E23">
      <w:pPr>
        <w:pStyle w:val="PwCNormal"/>
      </w:pPr>
      <w:r>
        <w:t xml:space="preserve">It is expected that some redistribution of supply, including licensing of new deposits, would likely emerge to satisfy these </w:t>
      </w:r>
      <w:r w:rsidR="003B6DA0">
        <w:t xml:space="preserve">potential </w:t>
      </w:r>
      <w:r>
        <w:t>supply shortfalls. This would depend on the availability of alternative deposits that are not presently managed with</w:t>
      </w:r>
      <w:r w:rsidR="006633CB">
        <w:t>in</w:t>
      </w:r>
      <w:r>
        <w:t xml:space="preserve"> current or planned WAs and on the ability of current WA holders to increase their supply levels. </w:t>
      </w:r>
    </w:p>
    <w:p w:rsidR="002D0E23" w:rsidRDefault="002D0E23" w:rsidP="002D0E23">
      <w:pPr>
        <w:pStyle w:val="PwCNormal"/>
      </w:pPr>
      <w:r>
        <w:t xml:space="preserve">This study is aware of constraints to both of these responses. With respect to additional resource deposits, licences to </w:t>
      </w:r>
      <w:r w:rsidR="008409D7">
        <w:t xml:space="preserve">develop </w:t>
      </w:r>
      <w:r>
        <w:t>new resource locations are subject to lengthy approvals processes and may not be granted where there are competing uses of the land. With respect to increases in production within current WAs, many WA work plans place limits on the production rates that can be achieved. WAs may also be otherwise capacity constrained due to technology, land confinements or other factors.</w:t>
      </w:r>
    </w:p>
    <w:p w:rsidR="009A119F" w:rsidRPr="001E1DC3" w:rsidRDefault="009A119F" w:rsidP="006916CE">
      <w:pPr>
        <w:pStyle w:val="Minorheading3"/>
      </w:pPr>
      <w:r w:rsidRPr="001E1DC3">
        <w:t>Substitute resources</w:t>
      </w:r>
    </w:p>
    <w:p w:rsidR="009A119F" w:rsidRDefault="002430E8" w:rsidP="002D0E23">
      <w:pPr>
        <w:pStyle w:val="PwCNormal"/>
      </w:pPr>
      <w:r w:rsidRPr="00507132">
        <w:t xml:space="preserve">Some substitutability of resource types was noted in the industry data gathering undertaken to support this analysis. As such, the identified potential supply shortfalls could also be met to some degree by substituting to different resources that are more readily available in a region. </w:t>
      </w:r>
      <w:r w:rsidR="004260F5" w:rsidRPr="006916CE">
        <w:t xml:space="preserve">Notably, the demand for road base materials, for example, is based on technical specifications and resource substitutes can be dependent on the availability of rock types in a given location. </w:t>
      </w:r>
      <w:r w:rsidR="00A31B97">
        <w:t>T</w:t>
      </w:r>
      <w:r w:rsidR="008D1571" w:rsidRPr="006916CE">
        <w:t xml:space="preserve">he inputs used for concrete </w:t>
      </w:r>
      <w:r w:rsidR="00A31B97">
        <w:t>can also be substituted in some cases</w:t>
      </w:r>
      <w:r w:rsidR="008D1571" w:rsidRPr="006916CE">
        <w:t xml:space="preserve">. The quality requirement for a mix may include durability, hardness, and friction rating, which can be met by a range of hard rock types such as basalt and hornfels. </w:t>
      </w:r>
    </w:p>
    <w:p w:rsidR="00A31B97" w:rsidRPr="00507132" w:rsidRDefault="00A31B97" w:rsidP="00A31B97">
      <w:pPr>
        <w:pStyle w:val="PwCNormal"/>
      </w:pPr>
      <w:r>
        <w:t>PwC understands that recycled materials can also be substituted for extractive resources in some cases. For instance, recycled crushed brick has been initially recommended for incorporation as a supplementary material in cement treated crushed concrete pavement sub-base applications.</w:t>
      </w:r>
      <w:r>
        <w:rPr>
          <w:rStyle w:val="FootnoteReference"/>
        </w:rPr>
        <w:footnoteReference w:id="20"/>
      </w:r>
      <w:r>
        <w:t xml:space="preserve"> Stakeholder consultation indicated however that in many uses of extractive resources, substitution to recycled products was not possible due to the composition and/or quality of such products relative to </w:t>
      </w:r>
      <w:r w:rsidR="00487DE8">
        <w:t>new</w:t>
      </w:r>
      <w:r>
        <w:t xml:space="preserve"> extractive resources.</w:t>
      </w:r>
    </w:p>
    <w:p w:rsidR="009A119F" w:rsidRDefault="009A119F" w:rsidP="006916CE">
      <w:pPr>
        <w:pStyle w:val="Minorheading3"/>
      </w:pPr>
      <w:r>
        <w:t>Imports from other States</w:t>
      </w:r>
    </w:p>
    <w:p w:rsidR="002430E8" w:rsidRDefault="002430E8" w:rsidP="002D0E23">
      <w:pPr>
        <w:pStyle w:val="PwCNormal"/>
      </w:pPr>
      <w:r>
        <w:t xml:space="preserve">Imports </w:t>
      </w:r>
      <w:r w:rsidR="0001069A">
        <w:t xml:space="preserve">of material </w:t>
      </w:r>
      <w:r>
        <w:t xml:space="preserve">from </w:t>
      </w:r>
      <w:r w:rsidR="0001069A">
        <w:t xml:space="preserve">neighbouring </w:t>
      </w:r>
      <w:r w:rsidR="009069AC">
        <w:t xml:space="preserve">States </w:t>
      </w:r>
      <w:r w:rsidR="0001069A">
        <w:t>could also assist in meeting some of Victoria’s extractives demand</w:t>
      </w:r>
      <w:r w:rsidR="006633CB">
        <w:t xml:space="preserve">. To the extent this occurs it could </w:t>
      </w:r>
      <w:r w:rsidR="009C7D8B">
        <w:t xml:space="preserve">help to alleviate </w:t>
      </w:r>
      <w:r w:rsidR="0001069A">
        <w:t xml:space="preserve">the identified potential supply shortfalls. </w:t>
      </w:r>
    </w:p>
    <w:p w:rsidR="002D0E23" w:rsidRDefault="0001069A" w:rsidP="002D0E23">
      <w:pPr>
        <w:pStyle w:val="PwCNormal"/>
      </w:pPr>
      <w:r>
        <w:t>In light of the above complexities</w:t>
      </w:r>
      <w:r w:rsidR="002D0E23">
        <w:t xml:space="preserve">, the extent to which </w:t>
      </w:r>
      <w:r>
        <w:t xml:space="preserve">the </w:t>
      </w:r>
      <w:r w:rsidR="002D0E23">
        <w:t xml:space="preserve">identified </w:t>
      </w:r>
      <w:r w:rsidR="00D151D4">
        <w:t xml:space="preserve">potential supply </w:t>
      </w:r>
      <w:r w:rsidR="002D0E23">
        <w:t xml:space="preserve">shortfalls </w:t>
      </w:r>
      <w:r>
        <w:t xml:space="preserve">could be </w:t>
      </w:r>
      <w:r w:rsidR="009C7D8B">
        <w:t xml:space="preserve">met </w:t>
      </w:r>
      <w:r>
        <w:t xml:space="preserve">by material from other sources </w:t>
      </w:r>
      <w:r w:rsidR="002D0E23">
        <w:t xml:space="preserve">is unclear. As such the </w:t>
      </w:r>
      <w:r w:rsidR="00D151D4">
        <w:t xml:space="preserve">potential </w:t>
      </w:r>
      <w:r w:rsidR="002D0E23">
        <w:t>shortfalls are reported here to provide an indication of where the impacts of supply constraints would be greatest.</w:t>
      </w:r>
    </w:p>
    <w:p w:rsidR="002D0E23" w:rsidRDefault="002D0E23" w:rsidP="002D0E23">
      <w:pPr>
        <w:pStyle w:val="Heading7"/>
      </w:pPr>
      <w:r>
        <w:t>Identified potential supply shortfalls in 2026</w:t>
      </w:r>
    </w:p>
    <w:p w:rsidR="002D0E23" w:rsidRDefault="00AD51FA" w:rsidP="002D0E23">
      <w:pPr>
        <w:pStyle w:val="PwCNormal"/>
      </w:pPr>
      <w:r>
        <w:fldChar w:fldCharType="begin"/>
      </w:r>
      <w:r>
        <w:instrText xml:space="preserve"> REF _Ref447724798 \h </w:instrText>
      </w:r>
      <w:r>
        <w:fldChar w:fldCharType="separate"/>
      </w:r>
      <w:r w:rsidR="00E22E13">
        <w:t xml:space="preserve">Figure </w:t>
      </w:r>
      <w:r w:rsidR="00E22E13">
        <w:rPr>
          <w:noProof/>
        </w:rPr>
        <w:t>15</w:t>
      </w:r>
      <w:r>
        <w:fldChar w:fldCharType="end"/>
      </w:r>
      <w:r w:rsidR="002D0E23">
        <w:t xml:space="preserve"> identifies those Victorian </w:t>
      </w:r>
      <w:r w:rsidR="00A31B97">
        <w:t xml:space="preserve">LGAs </w:t>
      </w:r>
      <w:r w:rsidR="002D0E23">
        <w:t xml:space="preserve">with material potential supply shortfalls in 2026. A threshold of 100,000 tonne shortfall is applied in identifying these locations. </w:t>
      </w:r>
    </w:p>
    <w:p w:rsidR="002D0E23" w:rsidRDefault="002D0E23" w:rsidP="002D0E23">
      <w:pPr>
        <w:pStyle w:val="Caption"/>
      </w:pPr>
      <w:bookmarkStart w:id="125" w:name="_Ref447724798"/>
      <w:r>
        <w:t xml:space="preserve">Figure </w:t>
      </w:r>
      <w:fldSimple w:instr=" SEQ Figure \* ARABIC ">
        <w:r w:rsidR="00E22E13">
          <w:rPr>
            <w:noProof/>
          </w:rPr>
          <w:t>15</w:t>
        </w:r>
      </w:fldSimple>
      <w:bookmarkEnd w:id="125"/>
      <w:r>
        <w:t xml:space="preserve">: Identified </w:t>
      </w:r>
      <w:r w:rsidR="00522A6D">
        <w:t xml:space="preserve">potential </w:t>
      </w:r>
      <w:r>
        <w:t>supply shortfalls by location, 2026</w:t>
      </w:r>
    </w:p>
    <w:p w:rsidR="002D0E23" w:rsidRDefault="000C0DAD" w:rsidP="002D0E23">
      <w:pPr>
        <w:pStyle w:val="Sources"/>
      </w:pPr>
      <w:r w:rsidRPr="000C0DAD">
        <w:rPr>
          <w:noProof/>
          <w:snapToGrid/>
          <w:lang w:eastAsia="en-AU"/>
        </w:rPr>
        <w:t xml:space="preserve"> </w:t>
      </w:r>
      <w:r>
        <w:rPr>
          <w:noProof/>
          <w:snapToGrid/>
          <w:lang w:eastAsia="en-AU"/>
        </w:rPr>
        <w:drawing>
          <wp:inline distT="0" distB="0" distL="0" distR="0" wp14:anchorId="21CB4474" wp14:editId="0E0DCFC4">
            <wp:extent cx="5220335" cy="5811436"/>
            <wp:effectExtent l="0" t="0" r="0" b="0"/>
            <wp:docPr id="672" name="Picture 672" descr="Figure 15 shows a graph of identified potential supply shortfalls by location in 2026.  The greatest shortfall will be in Melbourne (786,510 tonnes). "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0335" cy="5811436"/>
                    </a:xfrm>
                    <a:prstGeom prst="rect">
                      <a:avLst/>
                    </a:prstGeom>
                  </pic:spPr>
                </pic:pic>
              </a:graphicData>
            </a:graphic>
          </wp:inline>
        </w:drawing>
      </w:r>
      <w:r w:rsidR="002D0E23">
        <w:t>Source: PwC analysis</w:t>
      </w:r>
    </w:p>
    <w:p w:rsidR="002D0E23" w:rsidRPr="00186583" w:rsidRDefault="00EC75B2" w:rsidP="002D0E23">
      <w:pPr>
        <w:pStyle w:val="PwCNormal"/>
        <w:sectPr w:rsidR="002D0E23" w:rsidRPr="00186583" w:rsidSect="001A7D05">
          <w:pgSz w:w="11907" w:h="16840" w:code="9"/>
          <w:pgMar w:top="1588" w:right="1843" w:bottom="1418" w:left="1843" w:header="567" w:footer="567" w:gutter="0"/>
          <w:cols w:space="227"/>
          <w:docGrid w:linePitch="360"/>
        </w:sectPr>
      </w:pPr>
      <w:r>
        <w:fldChar w:fldCharType="begin"/>
      </w:r>
      <w:r>
        <w:instrText xml:space="preserve"> REF _Ref447726324 \h </w:instrText>
      </w:r>
      <w:r>
        <w:fldChar w:fldCharType="separate"/>
      </w:r>
      <w:r w:rsidR="00E22E13">
        <w:t xml:space="preserve">Figure </w:t>
      </w:r>
      <w:r w:rsidR="00E22E13">
        <w:rPr>
          <w:noProof/>
        </w:rPr>
        <w:t>16</w:t>
      </w:r>
      <w:r>
        <w:fldChar w:fldCharType="end"/>
      </w:r>
      <w:r w:rsidR="002D0E23">
        <w:t xml:space="preserve"> below provides a graphical representation of these shortfalls by LGA.</w:t>
      </w:r>
    </w:p>
    <w:p w:rsidR="002D0E23" w:rsidRDefault="002D0E23" w:rsidP="002D0E23">
      <w:pPr>
        <w:pStyle w:val="Caption"/>
      </w:pPr>
      <w:bookmarkStart w:id="126" w:name="_Ref447726324"/>
      <w:r>
        <w:t xml:space="preserve">Figure </w:t>
      </w:r>
      <w:fldSimple w:instr=" SEQ Figure \* ARABIC ">
        <w:r w:rsidR="00E22E13">
          <w:rPr>
            <w:noProof/>
          </w:rPr>
          <w:t>16</w:t>
        </w:r>
      </w:fldSimple>
      <w:bookmarkEnd w:id="126"/>
      <w:r>
        <w:t xml:space="preserve">: Locations demonstrating </w:t>
      </w:r>
      <w:r w:rsidR="00522A6D">
        <w:t xml:space="preserve">potential </w:t>
      </w:r>
      <w:r>
        <w:t>supply shortfalls in 2026</w:t>
      </w:r>
    </w:p>
    <w:p w:rsidR="002D0E23" w:rsidRDefault="00016230" w:rsidP="006916CE">
      <w:pPr>
        <w:pStyle w:val="Sources"/>
      </w:pPr>
      <w:r>
        <w:rPr>
          <w:noProof/>
          <w:snapToGrid/>
          <w:lang w:eastAsia="en-AU"/>
        </w:rPr>
        <w:drawing>
          <wp:inline distT="0" distB="0" distL="0" distR="0" wp14:anchorId="42E83977" wp14:editId="61F16AF6">
            <wp:extent cx="6967320" cy="4944862"/>
            <wp:effectExtent l="0" t="0" r="5080" b="8255"/>
            <wp:docPr id="676" name="Picture 676" descr="Figure 16 shows a map of LGAs highlighted by their forecasted shortfall in 2026. The LGAs with the greatest shortfall are Melbourne, Wyndham,  Whittlesea and Melton.  " title="Figure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967320" cy="4944862"/>
                    </a:xfrm>
                    <a:prstGeom prst="rect">
                      <a:avLst/>
                    </a:prstGeom>
                  </pic:spPr>
                </pic:pic>
              </a:graphicData>
            </a:graphic>
          </wp:inline>
        </w:drawing>
      </w:r>
      <w:r w:rsidR="002D0E23">
        <w:t>Source: PwC analysis</w:t>
      </w:r>
    </w:p>
    <w:p w:rsidR="00522A6D" w:rsidRDefault="00522A6D" w:rsidP="00522A6D">
      <w:pPr>
        <w:pStyle w:val="Heading7"/>
      </w:pPr>
      <w:r>
        <w:t>Identified potential supply shortfalls in 2050</w:t>
      </w:r>
    </w:p>
    <w:p w:rsidR="002D0E23" w:rsidRDefault="00EC75B2" w:rsidP="002D0E23">
      <w:pPr>
        <w:pStyle w:val="PwCNormal"/>
      </w:pPr>
      <w:r>
        <w:fldChar w:fldCharType="begin"/>
      </w:r>
      <w:r>
        <w:instrText xml:space="preserve"> REF _Ref447726334 \h </w:instrText>
      </w:r>
      <w:r>
        <w:fldChar w:fldCharType="separate"/>
      </w:r>
      <w:r w:rsidR="00E22E13">
        <w:t xml:space="preserve">Figure </w:t>
      </w:r>
      <w:r w:rsidR="00E22E13">
        <w:rPr>
          <w:noProof/>
        </w:rPr>
        <w:t>17</w:t>
      </w:r>
      <w:r>
        <w:fldChar w:fldCharType="end"/>
      </w:r>
      <w:r w:rsidR="002D0E23">
        <w:t xml:space="preserve"> identifies those Victorian </w:t>
      </w:r>
      <w:r w:rsidR="00A31B97">
        <w:t xml:space="preserve">LGAs </w:t>
      </w:r>
      <w:r w:rsidR="002D0E23">
        <w:t xml:space="preserve">with material </w:t>
      </w:r>
      <w:r w:rsidR="00522A6D">
        <w:t xml:space="preserve">potential </w:t>
      </w:r>
      <w:r w:rsidR="002D0E23">
        <w:t>supply shortfalls in 2050. A threshold of 700,000 tonne shortfall is applied in identifying these locations.</w:t>
      </w:r>
    </w:p>
    <w:p w:rsidR="002D0E23" w:rsidRDefault="002D0E23" w:rsidP="002D0E23">
      <w:pPr>
        <w:pStyle w:val="Caption"/>
      </w:pPr>
      <w:bookmarkStart w:id="127" w:name="_Ref447726334"/>
      <w:r>
        <w:t xml:space="preserve">Figure </w:t>
      </w:r>
      <w:fldSimple w:instr=" SEQ Figure \* ARABIC ">
        <w:r w:rsidR="00E22E13">
          <w:rPr>
            <w:noProof/>
          </w:rPr>
          <w:t>17</w:t>
        </w:r>
      </w:fldSimple>
      <w:bookmarkEnd w:id="127"/>
      <w:r>
        <w:t xml:space="preserve">: Identified </w:t>
      </w:r>
      <w:r w:rsidR="00522A6D">
        <w:t xml:space="preserve">potential </w:t>
      </w:r>
      <w:r>
        <w:t>supply shortfalls by location, 2050</w:t>
      </w:r>
    </w:p>
    <w:p w:rsidR="002D0E23" w:rsidRDefault="000C0DAD" w:rsidP="00E76291">
      <w:pPr>
        <w:pStyle w:val="Sources"/>
      </w:pPr>
      <w:r>
        <w:rPr>
          <w:noProof/>
          <w:snapToGrid/>
          <w:lang w:eastAsia="en-AU"/>
        </w:rPr>
        <w:drawing>
          <wp:inline distT="0" distB="0" distL="0" distR="0" wp14:anchorId="6E837C36" wp14:editId="454115CF">
            <wp:extent cx="8815527" cy="3660893"/>
            <wp:effectExtent l="0" t="0" r="5080" b="0"/>
            <wp:docPr id="674" name="Picture 674" descr="Figure 17 shows a graph of identified potential supply shortfalls by location to 2050. The greatest shortfall will be in Melbourne (4,152,737 tonnes)" title="Figure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816427" cy="3661267"/>
                    </a:xfrm>
                    <a:prstGeom prst="rect">
                      <a:avLst/>
                    </a:prstGeom>
                  </pic:spPr>
                </pic:pic>
              </a:graphicData>
            </a:graphic>
          </wp:inline>
        </w:drawing>
      </w:r>
      <w:r w:rsidR="002D0E23">
        <w:t>Source: PwC analysis</w:t>
      </w:r>
    </w:p>
    <w:p w:rsidR="002D0E23" w:rsidRDefault="00EC75B2" w:rsidP="006916CE">
      <w:pPr>
        <w:pStyle w:val="PwCNormal"/>
      </w:pPr>
      <w:r>
        <w:fldChar w:fldCharType="begin"/>
      </w:r>
      <w:r>
        <w:instrText xml:space="preserve"> REF _Ref447726345 \h </w:instrText>
      </w:r>
      <w:r>
        <w:fldChar w:fldCharType="separate"/>
      </w:r>
      <w:r w:rsidR="00E22E13">
        <w:t xml:space="preserve">Figure </w:t>
      </w:r>
      <w:r w:rsidR="00E22E13">
        <w:rPr>
          <w:noProof/>
        </w:rPr>
        <w:t>18</w:t>
      </w:r>
      <w:r>
        <w:fldChar w:fldCharType="end"/>
      </w:r>
      <w:r w:rsidR="002D0E23">
        <w:t xml:space="preserve"> below provides a graphical representation of these shortfalls. Comparing </w:t>
      </w:r>
      <w:r w:rsidR="00A31B97">
        <w:fldChar w:fldCharType="begin"/>
      </w:r>
      <w:r w:rsidR="00A31B97">
        <w:instrText xml:space="preserve"> REF _Ref447726324 \h </w:instrText>
      </w:r>
      <w:r w:rsidR="00A31B97">
        <w:fldChar w:fldCharType="separate"/>
      </w:r>
      <w:r w:rsidR="00E22E13">
        <w:t xml:space="preserve">Figure </w:t>
      </w:r>
      <w:r w:rsidR="00E22E13">
        <w:rPr>
          <w:noProof/>
        </w:rPr>
        <w:t>16</w:t>
      </w:r>
      <w:r w:rsidR="00A31B97">
        <w:fldChar w:fldCharType="end"/>
      </w:r>
      <w:r w:rsidR="002D0E23">
        <w:t xml:space="preserve"> </w:t>
      </w:r>
      <w:r w:rsidR="00BE716E">
        <w:t xml:space="preserve">against </w:t>
      </w:r>
      <w:r w:rsidR="00BE716E">
        <w:fldChar w:fldCharType="begin"/>
      </w:r>
      <w:r w:rsidR="00BE716E">
        <w:instrText xml:space="preserve"> REF _Ref447726345 \h </w:instrText>
      </w:r>
      <w:r w:rsidR="00BE716E">
        <w:fldChar w:fldCharType="separate"/>
      </w:r>
      <w:r w:rsidR="00E22E13">
        <w:t xml:space="preserve">Figure </w:t>
      </w:r>
      <w:r w:rsidR="00E22E13">
        <w:rPr>
          <w:noProof/>
        </w:rPr>
        <w:t>18</w:t>
      </w:r>
      <w:r w:rsidR="00BE716E">
        <w:fldChar w:fldCharType="end"/>
      </w:r>
      <w:r w:rsidR="00BE716E">
        <w:t xml:space="preserve"> </w:t>
      </w:r>
      <w:r w:rsidR="002D0E23">
        <w:t>demonstrates the progression of shortfalls through time between 2026 and 2050.</w:t>
      </w:r>
      <w:r w:rsidR="008D1571">
        <w:t xml:space="preserve"> </w:t>
      </w:r>
    </w:p>
    <w:p w:rsidR="00522A6D" w:rsidRDefault="00522A6D">
      <w:pPr>
        <w:pStyle w:val="Caption"/>
      </w:pPr>
      <w:bookmarkStart w:id="128" w:name="_Ref447726345"/>
      <w:r>
        <w:t xml:space="preserve">Figure </w:t>
      </w:r>
      <w:fldSimple w:instr=" SEQ Figure \* ARABIC ">
        <w:r w:rsidR="00E22E13">
          <w:rPr>
            <w:noProof/>
          </w:rPr>
          <w:t>18</w:t>
        </w:r>
      </w:fldSimple>
      <w:bookmarkEnd w:id="128"/>
      <w:r>
        <w:t xml:space="preserve">: </w:t>
      </w:r>
      <w:r w:rsidRPr="00700E7B">
        <w:t>Locations demonst</w:t>
      </w:r>
      <w:r>
        <w:t>rating potential supply shortfalls in 2050</w:t>
      </w:r>
    </w:p>
    <w:p w:rsidR="002D0E23" w:rsidRPr="003B65CC" w:rsidRDefault="00016230" w:rsidP="002D0E23">
      <w:pPr>
        <w:pStyle w:val="Sources"/>
      </w:pPr>
      <w:r>
        <w:rPr>
          <w:noProof/>
          <w:snapToGrid/>
          <w:lang w:eastAsia="en-AU"/>
        </w:rPr>
        <w:drawing>
          <wp:inline distT="0" distB="0" distL="0" distR="0" wp14:anchorId="59894DD2" wp14:editId="037B5061">
            <wp:extent cx="7164279" cy="4943046"/>
            <wp:effectExtent l="0" t="0" r="0" b="0"/>
            <wp:docPr id="677" name="Picture 677" descr="Figure 18 shows a map of LGAs highlighted by their forecasted shortfall in 2050. The LGAs with the greatest shortfall are Melbourne, followed by Wyndham" title="Figur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164279" cy="4943046"/>
                    </a:xfrm>
                    <a:prstGeom prst="rect">
                      <a:avLst/>
                    </a:prstGeom>
                  </pic:spPr>
                </pic:pic>
              </a:graphicData>
            </a:graphic>
          </wp:inline>
        </w:drawing>
      </w:r>
      <w:r w:rsidR="002D0E23">
        <w:t>Source: PwC analysis</w:t>
      </w:r>
    </w:p>
    <w:p w:rsidR="002D0E23" w:rsidRDefault="002D0E23" w:rsidP="002D0E23">
      <w:pPr>
        <w:pStyle w:val="Heading7"/>
      </w:pPr>
      <w:r>
        <w:t>Cumulative</w:t>
      </w:r>
      <w:r w:rsidR="00522A6D">
        <w:t xml:space="preserve"> potential</w:t>
      </w:r>
      <w:r>
        <w:t xml:space="preserve"> shortfalls</w:t>
      </w:r>
    </w:p>
    <w:p w:rsidR="002D0E23" w:rsidRDefault="002D0E23" w:rsidP="002D0E23">
      <w:pPr>
        <w:pStyle w:val="PwCNormal"/>
      </w:pPr>
      <w:r>
        <w:t>These shortfalls can similarly be computed in a cumulative sense to gain a better understanding of the total shortfalls that emerge across the analysis period.</w:t>
      </w:r>
    </w:p>
    <w:p w:rsidR="002D0E23" w:rsidRDefault="00EC75B2" w:rsidP="002D0E23">
      <w:pPr>
        <w:pStyle w:val="PwCNormal"/>
      </w:pPr>
      <w:r>
        <w:fldChar w:fldCharType="begin"/>
      </w:r>
      <w:r>
        <w:instrText xml:space="preserve"> REF _Ref447726360 \h </w:instrText>
      </w:r>
      <w:r>
        <w:fldChar w:fldCharType="separate"/>
      </w:r>
      <w:r w:rsidR="00E22E13">
        <w:t xml:space="preserve">Figure </w:t>
      </w:r>
      <w:r w:rsidR="00E22E13">
        <w:rPr>
          <w:noProof/>
        </w:rPr>
        <w:t>19</w:t>
      </w:r>
      <w:r>
        <w:fldChar w:fldCharType="end"/>
      </w:r>
      <w:r w:rsidR="002D0E23">
        <w:t xml:space="preserve"> provides a breakdown by location of these shortfalls, ranked by the level of the shortfall identified over the 2015</w:t>
      </w:r>
      <w:r w:rsidR="006925D6">
        <w:t xml:space="preserve"> to 20</w:t>
      </w:r>
      <w:r w:rsidR="002D0E23">
        <w:t>25 period. Both the 2015</w:t>
      </w:r>
      <w:r w:rsidR="006925D6">
        <w:t xml:space="preserve"> to 20</w:t>
      </w:r>
      <w:r w:rsidR="002D0E23">
        <w:t>25 and 2026</w:t>
      </w:r>
      <w:r w:rsidR="006925D6">
        <w:t xml:space="preserve"> to 20</w:t>
      </w:r>
      <w:r w:rsidR="002D0E23">
        <w:t xml:space="preserve">50 shortages are presented in the chart, illustrating the significant level of </w:t>
      </w:r>
      <w:r>
        <w:t xml:space="preserve">unmet </w:t>
      </w:r>
      <w:r w:rsidR="002D0E23">
        <w:t xml:space="preserve">demand that it expected to </w:t>
      </w:r>
      <w:r>
        <w:t>e</w:t>
      </w:r>
      <w:r w:rsidR="00560609">
        <w:t xml:space="preserve">merge </w:t>
      </w:r>
      <w:r w:rsidR="002D0E23">
        <w:t>in the latter part of the analysis period.</w:t>
      </w:r>
    </w:p>
    <w:p w:rsidR="002D0E23" w:rsidRDefault="002D0E23" w:rsidP="002D0E23">
      <w:pPr>
        <w:pStyle w:val="Caption"/>
      </w:pPr>
      <w:bookmarkStart w:id="129" w:name="_Ref447726360"/>
      <w:r>
        <w:t xml:space="preserve">Figure </w:t>
      </w:r>
      <w:fldSimple w:instr=" SEQ Figure \* ARABIC ">
        <w:r w:rsidR="00E22E13">
          <w:rPr>
            <w:noProof/>
          </w:rPr>
          <w:t>19</w:t>
        </w:r>
      </w:fldSimple>
      <w:bookmarkEnd w:id="129"/>
      <w:r>
        <w:t xml:space="preserve">: Locations with the largest </w:t>
      </w:r>
      <w:r w:rsidR="00522A6D">
        <w:t xml:space="preserve">potential </w:t>
      </w:r>
      <w:r>
        <w:t>cumulative supply shortfalls</w:t>
      </w:r>
    </w:p>
    <w:p w:rsidR="002D0E23" w:rsidRDefault="000C0DAD" w:rsidP="002D0E23">
      <w:pPr>
        <w:pStyle w:val="Sources"/>
      </w:pPr>
      <w:r w:rsidRPr="000C0DAD">
        <w:rPr>
          <w:noProof/>
          <w:snapToGrid/>
          <w:lang w:eastAsia="en-AU"/>
        </w:rPr>
        <w:t xml:space="preserve"> </w:t>
      </w:r>
      <w:r>
        <w:rPr>
          <w:noProof/>
          <w:snapToGrid/>
          <w:lang w:eastAsia="en-AU"/>
        </w:rPr>
        <w:drawing>
          <wp:inline distT="0" distB="0" distL="0" distR="0" wp14:anchorId="761493FC" wp14:editId="0E7E20DD">
            <wp:extent cx="8123068" cy="3565125"/>
            <wp:effectExtent l="0" t="0" r="0" b="0"/>
            <wp:docPr id="675" name="Picture 675" descr="Figure 19 shows a graph of locations with the largest potential cumulative supply shortfalls.  Melbourne has a substantially greater shortfall in both periods 2015-25 and 2026-50.  "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138969" cy="3572104"/>
                    </a:xfrm>
                    <a:prstGeom prst="rect">
                      <a:avLst/>
                    </a:prstGeom>
                  </pic:spPr>
                </pic:pic>
              </a:graphicData>
            </a:graphic>
          </wp:inline>
        </w:drawing>
      </w:r>
    </w:p>
    <w:p w:rsidR="00560609" w:rsidRDefault="002D0E23">
      <w:pPr>
        <w:pStyle w:val="Sources"/>
        <w:sectPr w:rsidR="00560609" w:rsidSect="001A7D05">
          <w:pgSz w:w="16840" w:h="11907" w:orient="landscape" w:code="9"/>
          <w:pgMar w:top="1843" w:right="1588" w:bottom="1843" w:left="1418" w:header="567" w:footer="567" w:gutter="0"/>
          <w:cols w:space="227"/>
          <w:docGrid w:linePitch="360"/>
        </w:sectPr>
      </w:pPr>
      <w:r>
        <w:t>Source: PwC analysis</w:t>
      </w:r>
    </w:p>
    <w:p w:rsidR="00560609" w:rsidRDefault="00082E5A">
      <w:pPr>
        <w:pStyle w:val="PwCNormal"/>
      </w:pPr>
      <w:r>
        <w:t xml:space="preserve">The above analysis demonstrates that significant potential shortfalls </w:t>
      </w:r>
      <w:r w:rsidR="00D041AE">
        <w:t xml:space="preserve">and associated price pressures </w:t>
      </w:r>
      <w:r>
        <w:t xml:space="preserve">could emerge towards the end of the analysis period if new reserves are not licensed in proximity to strong demand sites. </w:t>
      </w:r>
    </w:p>
    <w:p w:rsidR="002233B5" w:rsidRDefault="00082E5A">
      <w:pPr>
        <w:pStyle w:val="PwCNormal"/>
      </w:pPr>
      <w:r>
        <w:t xml:space="preserve">In 2026, among the regions identified in </w:t>
      </w:r>
      <w:r>
        <w:fldChar w:fldCharType="begin"/>
      </w:r>
      <w:r>
        <w:instrText xml:space="preserve"> REF _Ref447726360 \h </w:instrText>
      </w:r>
      <w:r>
        <w:fldChar w:fldCharType="separate"/>
      </w:r>
      <w:r w:rsidR="00E22E13">
        <w:t xml:space="preserve">Figure </w:t>
      </w:r>
      <w:r w:rsidR="00E22E13">
        <w:rPr>
          <w:noProof/>
        </w:rPr>
        <w:t>19</w:t>
      </w:r>
      <w:r>
        <w:fldChar w:fldCharType="end"/>
      </w:r>
      <w:r>
        <w:t>, the average potential supply shortfall as a proportion of demand is approximately 13 per cent. By 2050, this proportion has grown to close to 30 per cent of demand</w:t>
      </w:r>
      <w:r w:rsidR="002233B5">
        <w:t xml:space="preserve">. This means that close to 30 per cent of demand </w:t>
      </w:r>
      <w:r w:rsidR="00387278">
        <w:t xml:space="preserve">for extractive resources </w:t>
      </w:r>
      <w:r w:rsidR="002233B5">
        <w:t>in these regions will need to come from new quarries by 2050.</w:t>
      </w:r>
      <w:r w:rsidR="00A31B97">
        <w:t xml:space="preserve"> Across all Victorian LGAs, this proportion is closer to 35 per cent.</w:t>
      </w:r>
      <w:r w:rsidR="002233B5">
        <w:t xml:space="preserve"> </w:t>
      </w:r>
      <w:r>
        <w:t xml:space="preserve"> </w:t>
      </w:r>
    </w:p>
    <w:p w:rsidR="00965E95" w:rsidRDefault="00965E95" w:rsidP="00965E95">
      <w:pPr>
        <w:pStyle w:val="Heading6"/>
      </w:pPr>
      <w:bookmarkStart w:id="130" w:name="_Ref447728288"/>
      <w:r>
        <w:t>Other industry insights</w:t>
      </w:r>
    </w:p>
    <w:p w:rsidR="00965E95" w:rsidRDefault="00965E95" w:rsidP="00965E95">
      <w:pPr>
        <w:pStyle w:val="PwCNormal"/>
      </w:pPr>
      <w:r>
        <w:t xml:space="preserve">Through industry data gathering undertaken in support of this study, WA holders were asked to identify key issues affecting their current operations and future plans. </w:t>
      </w:r>
    </w:p>
    <w:p w:rsidR="001915AF" w:rsidRDefault="001915AF" w:rsidP="006916CE">
      <w:pPr>
        <w:pStyle w:val="Heading7"/>
      </w:pPr>
      <w:r>
        <w:t>Consolidated findings</w:t>
      </w:r>
    </w:p>
    <w:p w:rsidR="00965E95" w:rsidRDefault="00965E95" w:rsidP="00965E95">
      <w:pPr>
        <w:pStyle w:val="PwCNormal"/>
      </w:pPr>
      <w:r>
        <w:t xml:space="preserve">With respect to production from current WAs, compliance requirements and road access were identified as key issues. However, </w:t>
      </w:r>
      <w:r w:rsidR="007B0FBC">
        <w:t>one in five</w:t>
      </w:r>
      <w:r>
        <w:t xml:space="preserve"> respondents indicated that no issues were limiting production from their quarry. </w:t>
      </w:r>
      <w:r>
        <w:fldChar w:fldCharType="begin"/>
      </w:r>
      <w:r>
        <w:instrText xml:space="preserve"> REF _Ref448298767 \h </w:instrText>
      </w:r>
      <w:r>
        <w:fldChar w:fldCharType="separate"/>
      </w:r>
      <w:r w:rsidR="00E22E13">
        <w:t xml:space="preserve">Figure </w:t>
      </w:r>
      <w:r w:rsidR="00E22E13">
        <w:rPr>
          <w:noProof/>
        </w:rPr>
        <w:t>20</w:t>
      </w:r>
      <w:r>
        <w:fldChar w:fldCharType="end"/>
      </w:r>
      <w:r>
        <w:t xml:space="preserve"> provides a summary of the survey responses </w:t>
      </w:r>
      <w:r w:rsidR="00387278">
        <w:t>with</w:t>
      </w:r>
      <w:r>
        <w:t xml:space="preserve"> respect </w:t>
      </w:r>
      <w:r w:rsidR="00387278">
        <w:t>to</w:t>
      </w:r>
      <w:r>
        <w:t xml:space="preserve"> issues affecting current operations.</w:t>
      </w:r>
    </w:p>
    <w:p w:rsidR="00965E95" w:rsidRDefault="00965E95" w:rsidP="00965E95">
      <w:pPr>
        <w:pStyle w:val="Caption"/>
      </w:pPr>
      <w:bookmarkStart w:id="131" w:name="_Ref448298767"/>
      <w:r>
        <w:t xml:space="preserve">Figure </w:t>
      </w:r>
      <w:fldSimple w:instr=" SEQ Figure \* ARABIC ">
        <w:r w:rsidR="00E22E13">
          <w:rPr>
            <w:noProof/>
          </w:rPr>
          <w:t>20</w:t>
        </w:r>
      </w:fldSimple>
      <w:bookmarkEnd w:id="131"/>
      <w:r>
        <w:t>: Issues limiting production in current WAs*</w:t>
      </w:r>
    </w:p>
    <w:p w:rsidR="00387278" w:rsidRDefault="00965E95" w:rsidP="006916CE">
      <w:pPr>
        <w:pStyle w:val="Address"/>
        <w:rPr>
          <w:color w:val="A32020" w:themeColor="accent1"/>
          <w:szCs w:val="16"/>
          <w:lang w:val="en-US"/>
        </w:rPr>
      </w:pPr>
      <w:r w:rsidRPr="00442265">
        <w:rPr>
          <w:lang w:val="en-AU" w:eastAsia="en-AU"/>
        </w:rPr>
        <w:drawing>
          <wp:inline distT="0" distB="0" distL="0" distR="0" wp14:anchorId="45EBDB07" wp14:editId="043E8319">
            <wp:extent cx="3622090" cy="1110606"/>
            <wp:effectExtent l="0" t="0" r="0" b="0"/>
            <wp:docPr id="17418" name="Picture 15" descr="Figure 20 shows issues limiting production in current WAs. Almost 20% of respondents said that there are no issues that will limit production in currents WAs.  The reasons for limited production were, in descending order, compliance requirements (eg operating hours), local road access and networks, incompatible or sensitive uses nearby, community expectations (‘licence’ to operate), and quarry life limited by planning permit. "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5345" cy="1114670"/>
                    </a:xfrm>
                    <a:prstGeom prst="rect">
                      <a:avLst/>
                    </a:prstGeom>
                    <a:noFill/>
                    <a:ln>
                      <a:noFill/>
                    </a:ln>
                    <a:extLst/>
                  </pic:spPr>
                </pic:pic>
              </a:graphicData>
            </a:graphic>
          </wp:inline>
        </w:drawing>
      </w:r>
      <w:r>
        <w:br/>
      </w:r>
      <w:r w:rsidRPr="006916CE">
        <w:rPr>
          <w:i w:val="0"/>
          <w:color w:val="A32020" w:themeColor="accent1"/>
          <w:sz w:val="16"/>
          <w:szCs w:val="16"/>
        </w:rPr>
        <w:t>Source: PwC</w:t>
      </w:r>
      <w:r w:rsidR="00387278" w:rsidRPr="006916CE">
        <w:rPr>
          <w:i w:val="0"/>
          <w:color w:val="A32020" w:themeColor="accent1"/>
          <w:sz w:val="16"/>
          <w:szCs w:val="16"/>
        </w:rPr>
        <w:t xml:space="preserve"> analysis</w:t>
      </w:r>
      <w:r w:rsidR="00A11FE4">
        <w:rPr>
          <w:i w:val="0"/>
          <w:color w:val="A32020" w:themeColor="accent1"/>
          <w:sz w:val="16"/>
          <w:szCs w:val="16"/>
        </w:rPr>
        <w:t xml:space="preserve">. </w:t>
      </w:r>
      <w:r w:rsidR="00387278" w:rsidRPr="006916CE">
        <w:rPr>
          <w:i w:val="0"/>
          <w:color w:val="A32020" w:themeColor="accent1"/>
          <w:sz w:val="16"/>
          <w:szCs w:val="16"/>
        </w:rPr>
        <w:t>*</w:t>
      </w:r>
      <w:r w:rsidR="00387278" w:rsidRPr="006916CE">
        <w:rPr>
          <w:i w:val="0"/>
          <w:color w:val="A32020" w:themeColor="accent1"/>
          <w:sz w:val="16"/>
          <w:szCs w:val="16"/>
          <w:lang w:val="en-US"/>
        </w:rPr>
        <w:t xml:space="preserve">Percentages illustrate proportion of respondents who indicated the issue affected them, hence numbers will not sum to 100 per cent. </w:t>
      </w:r>
    </w:p>
    <w:p w:rsidR="00387278" w:rsidRPr="006916CE" w:rsidRDefault="00387278" w:rsidP="006916CE">
      <w:pPr>
        <w:pStyle w:val="Address"/>
        <w:rPr>
          <w:color w:val="A32020" w:themeColor="accent1"/>
          <w:szCs w:val="16"/>
        </w:rPr>
      </w:pPr>
    </w:p>
    <w:p w:rsidR="00965E95" w:rsidRDefault="00965E95" w:rsidP="00965E95">
      <w:pPr>
        <w:pStyle w:val="PwCNormal"/>
      </w:pPr>
      <w:r>
        <w:t xml:space="preserve">Comments from stakeholders in the preliminary stages of the study suggested that licensing new resource reserves and varying the conditions of existing WAs could be subject to lengthy approvals processes. To seek industry views on these findings, survey respondents were asked to identify issues that could affect expansion of their current WA in the future. </w:t>
      </w:r>
    </w:p>
    <w:p w:rsidR="00965E95" w:rsidRDefault="00965E95" w:rsidP="00965E95">
      <w:pPr>
        <w:pStyle w:val="PwCNormal"/>
      </w:pPr>
      <w:r>
        <w:t xml:space="preserve">The biggest issues limiting quarry expansion were identified as aboriginal heritage and approvals processes within both Local and State Government. Native vegetation and water/catchment management were also potential issues for many respondents. </w:t>
      </w:r>
      <w:r>
        <w:fldChar w:fldCharType="begin"/>
      </w:r>
      <w:r>
        <w:instrText xml:space="preserve"> REF _Ref448299308 \h </w:instrText>
      </w:r>
      <w:r>
        <w:fldChar w:fldCharType="separate"/>
      </w:r>
      <w:r w:rsidR="00E22E13">
        <w:t xml:space="preserve">Figure </w:t>
      </w:r>
      <w:r w:rsidR="00E22E13">
        <w:rPr>
          <w:noProof/>
        </w:rPr>
        <w:t>21</w:t>
      </w:r>
      <w:r>
        <w:fldChar w:fldCharType="end"/>
      </w:r>
      <w:r>
        <w:t xml:space="preserve"> provides a summary of the survey responses in respect of issues affecting quarry expansion.</w:t>
      </w:r>
    </w:p>
    <w:p w:rsidR="00965E95" w:rsidRDefault="00965E95" w:rsidP="00965E95">
      <w:pPr>
        <w:pStyle w:val="Caption"/>
      </w:pPr>
      <w:bookmarkStart w:id="132" w:name="_Ref448299308"/>
      <w:r>
        <w:t xml:space="preserve">Figure </w:t>
      </w:r>
      <w:fldSimple w:instr=" SEQ Figure \* ARABIC ">
        <w:r w:rsidR="00E22E13">
          <w:rPr>
            <w:noProof/>
          </w:rPr>
          <w:t>21</w:t>
        </w:r>
      </w:fldSimple>
      <w:bookmarkEnd w:id="132"/>
      <w:r>
        <w:t>: Issues limiting expansion of current WAs</w:t>
      </w:r>
    </w:p>
    <w:p w:rsidR="00387278" w:rsidRDefault="00965E95" w:rsidP="00387278">
      <w:pPr>
        <w:pStyle w:val="Address"/>
        <w:rPr>
          <w:i w:val="0"/>
          <w:color w:val="A32020" w:themeColor="accent1"/>
          <w:sz w:val="16"/>
          <w:szCs w:val="16"/>
          <w:lang w:val="en-US"/>
        </w:rPr>
      </w:pPr>
      <w:r w:rsidRPr="00965E95">
        <w:rPr>
          <w:lang w:val="en-AU" w:eastAsia="en-AU"/>
        </w:rPr>
        <w:drawing>
          <wp:inline distT="0" distB="0" distL="0" distR="0" wp14:anchorId="6D380A9B" wp14:editId="19FBC2D0">
            <wp:extent cx="4358936" cy="1410244"/>
            <wp:effectExtent l="0" t="0" r="3810" b="0"/>
            <wp:docPr id="17419" name="Picture 16" descr="Figure 21 shows  issues limiting expansion in current WAs. They were, in descending order, Aboriginal heritage, council approvals (eg planning), DEDJTR work plan approvals, native vegetation, water/catchment management, rehabilitation bond assessment, environmental effects statement, and VCAT."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6447" cy="1409439"/>
                    </a:xfrm>
                    <a:prstGeom prst="rect">
                      <a:avLst/>
                    </a:prstGeom>
                    <a:noFill/>
                    <a:ln>
                      <a:noFill/>
                    </a:ln>
                    <a:extLst/>
                  </pic:spPr>
                </pic:pic>
              </a:graphicData>
            </a:graphic>
          </wp:inline>
        </w:drawing>
      </w:r>
      <w:r>
        <w:t xml:space="preserve"> </w:t>
      </w:r>
      <w:r>
        <w:br/>
      </w:r>
      <w:r w:rsidR="00387278" w:rsidRPr="001714D9">
        <w:rPr>
          <w:i w:val="0"/>
          <w:color w:val="A32020" w:themeColor="accent1"/>
          <w:sz w:val="16"/>
          <w:szCs w:val="16"/>
        </w:rPr>
        <w:t>Source: PwC analysis</w:t>
      </w:r>
      <w:r w:rsidR="00A11FE4">
        <w:rPr>
          <w:i w:val="0"/>
          <w:color w:val="A32020" w:themeColor="accent1"/>
          <w:sz w:val="16"/>
          <w:szCs w:val="16"/>
        </w:rPr>
        <w:t xml:space="preserve">. </w:t>
      </w:r>
      <w:r w:rsidR="00387278" w:rsidRPr="001714D9">
        <w:rPr>
          <w:i w:val="0"/>
          <w:color w:val="A32020" w:themeColor="accent1"/>
          <w:sz w:val="16"/>
          <w:szCs w:val="16"/>
        </w:rPr>
        <w:t>*</w:t>
      </w:r>
      <w:r w:rsidR="00387278" w:rsidRPr="001714D9">
        <w:rPr>
          <w:i w:val="0"/>
          <w:color w:val="A32020" w:themeColor="accent1"/>
          <w:sz w:val="16"/>
          <w:szCs w:val="16"/>
          <w:lang w:val="en-US"/>
        </w:rPr>
        <w:t xml:space="preserve">Percentages illustrate proportion of respondents who indicated the issue affected them, hence numbers will not sum to 100 per cent. </w:t>
      </w:r>
    </w:p>
    <w:p w:rsidR="00965E95" w:rsidRDefault="00965E95" w:rsidP="00965E95">
      <w:pPr>
        <w:pStyle w:val="Sources"/>
      </w:pPr>
    </w:p>
    <w:p w:rsidR="00A03858" w:rsidRDefault="00882708" w:rsidP="006916CE">
      <w:pPr>
        <w:pStyle w:val="Heading7"/>
      </w:pPr>
      <w:r>
        <w:t>Key i</w:t>
      </w:r>
      <w:r w:rsidR="009A4F0E">
        <w:t>ssues</w:t>
      </w:r>
      <w:r w:rsidR="00A03858">
        <w:t xml:space="preserve"> by respondent type</w:t>
      </w:r>
    </w:p>
    <w:p w:rsidR="001915AF" w:rsidRDefault="001915AF" w:rsidP="006916CE">
      <w:pPr>
        <w:pStyle w:val="PwCNormal"/>
      </w:pPr>
      <w:r>
        <w:t xml:space="preserve">As discussed in Section </w:t>
      </w:r>
      <w:r>
        <w:fldChar w:fldCharType="begin"/>
      </w:r>
      <w:r>
        <w:instrText xml:space="preserve"> REF _Ref448322557 \n \h </w:instrText>
      </w:r>
      <w:r>
        <w:fldChar w:fldCharType="separate"/>
      </w:r>
      <w:r w:rsidR="00E22E13">
        <w:t>2.3</w:t>
      </w:r>
      <w:r>
        <w:fldChar w:fldCharType="end"/>
      </w:r>
      <w:r>
        <w:t>, the supply data gathering was conducted</w:t>
      </w:r>
      <w:r w:rsidR="009A4F0E">
        <w:t xml:space="preserve"> in three parts: an online survey,</w:t>
      </w:r>
      <w:r>
        <w:t xml:space="preserve"> paper surveys</w:t>
      </w:r>
      <w:r w:rsidR="009A4F0E">
        <w:t>,</w:t>
      </w:r>
      <w:r>
        <w:t xml:space="preserve"> and interviews with </w:t>
      </w:r>
      <w:r w:rsidR="009A4F0E">
        <w:t>industry stakeholders</w:t>
      </w:r>
      <w:r>
        <w:t xml:space="preserve">. Interviews were </w:t>
      </w:r>
      <w:r w:rsidR="00882708">
        <w:t xml:space="preserve">completed </w:t>
      </w:r>
      <w:r>
        <w:t xml:space="preserve">with 27 respondents identified as producing large volumes of material in 2013-14, while the remaining WA holders were surveyed </w:t>
      </w:r>
      <w:r w:rsidR="00882708">
        <w:t xml:space="preserve">through an online platform and a </w:t>
      </w:r>
      <w:r>
        <w:t>paper version of the survey.</w:t>
      </w:r>
    </w:p>
    <w:p w:rsidR="001915AF" w:rsidRDefault="001915AF" w:rsidP="006916CE">
      <w:pPr>
        <w:pStyle w:val="PwCNormal"/>
      </w:pPr>
      <w:r>
        <w:t xml:space="preserve">This approach provides for comparison of key issues by respondent type, as the results can be subset into responses from larger producers and responses from smaller producers. </w:t>
      </w:r>
    </w:p>
    <w:p w:rsidR="005B795A" w:rsidRDefault="005B795A" w:rsidP="006916CE">
      <w:pPr>
        <w:pStyle w:val="PwCNormal"/>
      </w:pPr>
      <w:r>
        <w:t>The issues identified in the industry data gathering are largely consistent across both larger and smaller producers. While some small differences exist, these would potentially disappear were a larger sample size to be considered. The key issues for each group are presented below.</w:t>
      </w:r>
    </w:p>
    <w:p w:rsidR="001915AF" w:rsidRPr="001E1DC3" w:rsidRDefault="001915AF" w:rsidP="006916CE">
      <w:pPr>
        <w:pStyle w:val="Minorheading3"/>
      </w:pPr>
      <w:r w:rsidRPr="00D7732E">
        <w:t>Larger producers</w:t>
      </w:r>
    </w:p>
    <w:p w:rsidR="00A11FE4" w:rsidRDefault="00A11FE4" w:rsidP="006916CE">
      <w:pPr>
        <w:pStyle w:val="PwCNormal"/>
      </w:pPr>
      <w:r w:rsidRPr="006916CE">
        <w:t xml:space="preserve">As discussed above, interviews were conducted with larger industry producers instead of web or paper surveys. Larger producers were defined as those companies ranking in the top-30 of Victorian extractive industry operators, based on their 2013-14 production levels using DEDJTR records. </w:t>
      </w:r>
    </w:p>
    <w:p w:rsidR="00A11FE4" w:rsidRDefault="00A11FE4" w:rsidP="006916CE">
      <w:pPr>
        <w:pStyle w:val="PwCNormal"/>
      </w:pPr>
      <w:r>
        <w:fldChar w:fldCharType="begin"/>
      </w:r>
      <w:r>
        <w:instrText xml:space="preserve"> REF _Ref448760877 \h </w:instrText>
      </w:r>
      <w:r>
        <w:fldChar w:fldCharType="separate"/>
      </w:r>
      <w:r w:rsidR="00E22E13">
        <w:t xml:space="preserve">Figure </w:t>
      </w:r>
      <w:r w:rsidR="00E22E13">
        <w:rPr>
          <w:noProof/>
        </w:rPr>
        <w:t>22</w:t>
      </w:r>
      <w:r>
        <w:fldChar w:fldCharType="end"/>
      </w:r>
      <w:r>
        <w:t xml:space="preserve"> and </w:t>
      </w:r>
      <w:r>
        <w:fldChar w:fldCharType="begin"/>
      </w:r>
      <w:r>
        <w:instrText xml:space="preserve"> REF _Ref448760880 \h </w:instrText>
      </w:r>
      <w:r>
        <w:fldChar w:fldCharType="separate"/>
      </w:r>
      <w:r w:rsidR="00E22E13">
        <w:t xml:space="preserve">Figure </w:t>
      </w:r>
      <w:r w:rsidR="00E22E13">
        <w:rPr>
          <w:noProof/>
        </w:rPr>
        <w:t>23</w:t>
      </w:r>
      <w:r>
        <w:fldChar w:fldCharType="end"/>
      </w:r>
      <w:r>
        <w:t xml:space="preserve"> provide summaries of the interview responses with respect to issues affecting operations of larger producers.</w:t>
      </w:r>
    </w:p>
    <w:p w:rsidR="00A11FE4" w:rsidRDefault="00A11FE4">
      <w:pPr>
        <w:pStyle w:val="Caption"/>
      </w:pPr>
      <w:bookmarkStart w:id="133" w:name="_Ref448760877"/>
      <w:r>
        <w:t xml:space="preserve">Figure </w:t>
      </w:r>
      <w:fldSimple w:instr=" SEQ Figure \* ARABIC ">
        <w:r w:rsidR="00E22E13">
          <w:rPr>
            <w:noProof/>
          </w:rPr>
          <w:t>22</w:t>
        </w:r>
      </w:fldSimple>
      <w:bookmarkEnd w:id="133"/>
      <w:r>
        <w:t xml:space="preserve">: Larger producers - </w:t>
      </w:r>
      <w:r w:rsidRPr="00F36938">
        <w:t>Issues limiting production in current WAs*</w:t>
      </w:r>
    </w:p>
    <w:p w:rsidR="00A11FE4" w:rsidRDefault="00A11FE4" w:rsidP="00A11FE4">
      <w:pPr>
        <w:pStyle w:val="Address"/>
        <w:rPr>
          <w:color w:val="A32020" w:themeColor="accent1"/>
          <w:szCs w:val="16"/>
          <w:lang w:val="en-US"/>
        </w:rPr>
      </w:pPr>
      <w:r>
        <w:rPr>
          <w:lang w:val="en-AU" w:eastAsia="en-AU"/>
        </w:rPr>
        <w:drawing>
          <wp:inline distT="0" distB="0" distL="0" distR="0" wp14:anchorId="6A6D6B9E" wp14:editId="02C6863C">
            <wp:extent cx="4536489" cy="967666"/>
            <wp:effectExtent l="0" t="0" r="0" b="4445"/>
            <wp:docPr id="678" name="Picture 678" descr="Figure 22 shows  issues limiting production in current WAs for larger producers.   They are, in descending order, none, compliance requirements, local road access and networks, incompatible or sensitive uses nearby, and quarry life limited by planning permit. " title="Figur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36489" cy="967666"/>
                    </a:xfrm>
                    <a:prstGeom prst="rect">
                      <a:avLst/>
                    </a:prstGeom>
                  </pic:spPr>
                </pic:pic>
              </a:graphicData>
            </a:graphic>
          </wp:inline>
        </w:drawing>
      </w:r>
      <w:r w:rsidRPr="00A11FE4">
        <w:rPr>
          <w:i w:val="0"/>
          <w:color w:val="A32020" w:themeColor="accent1"/>
          <w:sz w:val="16"/>
          <w:szCs w:val="16"/>
        </w:rPr>
        <w:t xml:space="preserve"> </w:t>
      </w:r>
      <w:r>
        <w:rPr>
          <w:i w:val="0"/>
          <w:color w:val="A32020" w:themeColor="accent1"/>
          <w:sz w:val="16"/>
          <w:szCs w:val="16"/>
        </w:rPr>
        <w:br/>
      </w:r>
      <w:r w:rsidRPr="006254AD">
        <w:rPr>
          <w:i w:val="0"/>
          <w:color w:val="A32020" w:themeColor="accent1"/>
          <w:sz w:val="16"/>
          <w:szCs w:val="16"/>
        </w:rPr>
        <w:t>Source: PwC analysis</w:t>
      </w:r>
      <w:r>
        <w:rPr>
          <w:i w:val="0"/>
          <w:color w:val="A32020" w:themeColor="accent1"/>
          <w:sz w:val="16"/>
          <w:szCs w:val="16"/>
        </w:rPr>
        <w:t xml:space="preserve">. </w:t>
      </w:r>
      <w:r w:rsidRPr="006254AD">
        <w:rPr>
          <w:i w:val="0"/>
          <w:color w:val="A32020" w:themeColor="accent1"/>
          <w:sz w:val="16"/>
          <w:szCs w:val="16"/>
        </w:rPr>
        <w:t>*</w:t>
      </w:r>
      <w:r w:rsidRPr="006254AD">
        <w:rPr>
          <w:i w:val="0"/>
          <w:color w:val="A32020" w:themeColor="accent1"/>
          <w:sz w:val="16"/>
          <w:szCs w:val="16"/>
          <w:lang w:val="en-US"/>
        </w:rPr>
        <w:t xml:space="preserve">Percentages illustrate proportion of respondents who indicated the issue affected them, hence numbers will not sum to 100 per cent. </w:t>
      </w:r>
    </w:p>
    <w:p w:rsidR="00A11FE4" w:rsidRDefault="00A11FE4" w:rsidP="00D7732E">
      <w:pPr>
        <w:pStyle w:val="Caption"/>
      </w:pPr>
      <w:bookmarkStart w:id="134" w:name="_Ref448760880"/>
      <w:r>
        <w:t xml:space="preserve">Figure </w:t>
      </w:r>
      <w:fldSimple w:instr=" SEQ Figure \* ARABIC ">
        <w:r w:rsidR="00E22E13">
          <w:rPr>
            <w:noProof/>
          </w:rPr>
          <w:t>23</w:t>
        </w:r>
      </w:fldSimple>
      <w:bookmarkEnd w:id="134"/>
      <w:r>
        <w:t xml:space="preserve">: Larger producers - </w:t>
      </w:r>
      <w:r w:rsidRPr="00405CDF">
        <w:t>Issues limiting expansion of current WAs</w:t>
      </w:r>
      <w:r>
        <w:t>*</w:t>
      </w:r>
    </w:p>
    <w:p w:rsidR="00A11FE4" w:rsidRDefault="00A11FE4" w:rsidP="00A11FE4">
      <w:pPr>
        <w:pStyle w:val="Address"/>
        <w:rPr>
          <w:color w:val="A32020" w:themeColor="accent1"/>
          <w:szCs w:val="16"/>
          <w:lang w:val="en-US"/>
        </w:rPr>
      </w:pPr>
      <w:r>
        <w:rPr>
          <w:lang w:val="en-AU" w:eastAsia="en-AU"/>
        </w:rPr>
        <w:drawing>
          <wp:inline distT="0" distB="0" distL="0" distR="0" wp14:anchorId="15186C9D" wp14:editId="650B7B15">
            <wp:extent cx="4554245" cy="1216241"/>
            <wp:effectExtent l="0" t="0" r="0" b="3175"/>
            <wp:docPr id="679" name="Picture 679" descr="Figure 23 shows  issues limiting expansion in current WAs for larger producers. They were, in descending order, rehabilitation bond assessment, water/catchment management, DEDJTR work plan approvals, council approvals, VCAT, Aboriginal heritage and Environmental Effects Statement&#10;"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54245" cy="1216241"/>
                    </a:xfrm>
                    <a:prstGeom prst="rect">
                      <a:avLst/>
                    </a:prstGeom>
                  </pic:spPr>
                </pic:pic>
              </a:graphicData>
            </a:graphic>
          </wp:inline>
        </w:drawing>
      </w:r>
      <w:r w:rsidRPr="00A11FE4">
        <w:rPr>
          <w:i w:val="0"/>
          <w:color w:val="A32020" w:themeColor="accent1"/>
          <w:sz w:val="16"/>
          <w:szCs w:val="16"/>
        </w:rPr>
        <w:t xml:space="preserve"> </w:t>
      </w:r>
      <w:r>
        <w:rPr>
          <w:i w:val="0"/>
          <w:color w:val="A32020" w:themeColor="accent1"/>
          <w:sz w:val="16"/>
          <w:szCs w:val="16"/>
        </w:rPr>
        <w:br/>
      </w:r>
      <w:r w:rsidRPr="006254AD">
        <w:rPr>
          <w:i w:val="0"/>
          <w:color w:val="A32020" w:themeColor="accent1"/>
          <w:sz w:val="16"/>
          <w:szCs w:val="16"/>
        </w:rPr>
        <w:t>Source: PwC analysis</w:t>
      </w:r>
      <w:r>
        <w:rPr>
          <w:i w:val="0"/>
          <w:color w:val="A32020" w:themeColor="accent1"/>
          <w:sz w:val="16"/>
          <w:szCs w:val="16"/>
        </w:rPr>
        <w:t xml:space="preserve">. </w:t>
      </w:r>
      <w:r w:rsidRPr="006254AD">
        <w:rPr>
          <w:i w:val="0"/>
          <w:color w:val="A32020" w:themeColor="accent1"/>
          <w:sz w:val="16"/>
          <w:szCs w:val="16"/>
        </w:rPr>
        <w:t>*</w:t>
      </w:r>
      <w:r w:rsidRPr="006254AD">
        <w:rPr>
          <w:i w:val="0"/>
          <w:color w:val="A32020" w:themeColor="accent1"/>
          <w:sz w:val="16"/>
          <w:szCs w:val="16"/>
          <w:lang w:val="en-US"/>
        </w:rPr>
        <w:t xml:space="preserve">Percentages illustrate proportion of respondents who indicated the issue affected them, hence numbers will not sum to 100 per cent. </w:t>
      </w:r>
    </w:p>
    <w:p w:rsidR="00A11FE4" w:rsidRDefault="00A11FE4" w:rsidP="006916CE">
      <w:pPr>
        <w:pStyle w:val="PwCNormal"/>
      </w:pPr>
    </w:p>
    <w:p w:rsidR="001915AF" w:rsidRPr="00E76291" w:rsidRDefault="001915AF" w:rsidP="006916CE">
      <w:pPr>
        <w:pStyle w:val="PwCNormal"/>
      </w:pPr>
      <w:r w:rsidRPr="00D7732E">
        <w:t xml:space="preserve">Among the larger producers, the key issues </w:t>
      </w:r>
      <w:r w:rsidRPr="001E1DC3">
        <w:t>limiting production from current WAs were the same as those identified when con</w:t>
      </w:r>
      <w:r w:rsidRPr="00587172">
        <w:t>sidering all respondents: compliance requirements</w:t>
      </w:r>
      <w:r w:rsidRPr="002D7A56">
        <w:t xml:space="preserve"> (13.6 per cent of respondents)</w:t>
      </w:r>
      <w:r w:rsidRPr="001166B7">
        <w:t xml:space="preserve">, local road access </w:t>
      </w:r>
      <w:r w:rsidRPr="00F31B27">
        <w:t xml:space="preserve">(11.4 per cent) </w:t>
      </w:r>
      <w:r w:rsidRPr="00F505E2">
        <w:t>and incompatible or sensitive uses nearby</w:t>
      </w:r>
      <w:r w:rsidRPr="00546EA3">
        <w:t xml:space="preserve"> (9.1 per cent). 21.2 per cent of respondents indicated no issues affected them. </w:t>
      </w:r>
    </w:p>
    <w:p w:rsidR="001915AF" w:rsidRPr="006916CE" w:rsidRDefault="001915AF" w:rsidP="006916CE">
      <w:pPr>
        <w:pStyle w:val="PwCNormal"/>
      </w:pPr>
      <w:r w:rsidRPr="002374D2">
        <w:t xml:space="preserve">Considering future plans, </w:t>
      </w:r>
      <w:r w:rsidRPr="00941DEA">
        <w:t xml:space="preserve">the largest issue for larger producers was rehabilitation bond assessment (15.9 per cent of respondents) followed by water/catchment management (12.9 per cent) and DEDJTR work plan approvals (12.1 per cent). </w:t>
      </w:r>
      <w:r w:rsidRPr="006916CE">
        <w:t xml:space="preserve"> </w:t>
      </w:r>
    </w:p>
    <w:p w:rsidR="001915AF" w:rsidRPr="00A11FE4" w:rsidRDefault="001915AF" w:rsidP="001915AF">
      <w:pPr>
        <w:pStyle w:val="Minorheading3"/>
      </w:pPr>
      <w:r w:rsidRPr="00A11FE4">
        <w:t>Smaller producers</w:t>
      </w:r>
    </w:p>
    <w:p w:rsidR="00A11FE4" w:rsidRDefault="00A11FE4" w:rsidP="006916CE">
      <w:pPr>
        <w:pStyle w:val="PwCNormal"/>
      </w:pPr>
      <w:r>
        <w:t xml:space="preserve">Smaller producers were identified as those survey respondents that were not ranked in the top-30 of Victorian extractives industry by 2013-14 production. </w:t>
      </w:r>
    </w:p>
    <w:p w:rsidR="00A11FE4" w:rsidRDefault="00A11FE4" w:rsidP="006916CE">
      <w:pPr>
        <w:pStyle w:val="PwCNormal"/>
      </w:pPr>
      <w:r>
        <w:fldChar w:fldCharType="begin"/>
      </w:r>
      <w:r>
        <w:instrText xml:space="preserve"> REF _Ref448761107 \h </w:instrText>
      </w:r>
      <w:r>
        <w:fldChar w:fldCharType="separate"/>
      </w:r>
      <w:r w:rsidR="00E22E13">
        <w:t xml:space="preserve">Figure </w:t>
      </w:r>
      <w:r w:rsidR="00E22E13">
        <w:rPr>
          <w:noProof/>
        </w:rPr>
        <w:t>24</w:t>
      </w:r>
      <w:r>
        <w:fldChar w:fldCharType="end"/>
      </w:r>
      <w:r>
        <w:t xml:space="preserve"> and </w:t>
      </w:r>
      <w:r>
        <w:fldChar w:fldCharType="begin"/>
      </w:r>
      <w:r>
        <w:instrText xml:space="preserve"> REF _Ref448761112 \h </w:instrText>
      </w:r>
      <w:r>
        <w:fldChar w:fldCharType="separate"/>
      </w:r>
      <w:r w:rsidR="00E22E13">
        <w:t xml:space="preserve">Figure </w:t>
      </w:r>
      <w:r w:rsidR="00E22E13">
        <w:rPr>
          <w:noProof/>
        </w:rPr>
        <w:t>25</w:t>
      </w:r>
      <w:r>
        <w:fldChar w:fldCharType="end"/>
      </w:r>
      <w:r w:rsidRPr="00A11FE4">
        <w:t xml:space="preserve"> </w:t>
      </w:r>
      <w:r>
        <w:t>provide summaries of the survey responses with respect to issues affecting operations of smaller producers.</w:t>
      </w:r>
    </w:p>
    <w:p w:rsidR="00A11FE4" w:rsidRDefault="00A11FE4">
      <w:pPr>
        <w:pStyle w:val="Caption"/>
      </w:pPr>
      <w:bookmarkStart w:id="135" w:name="_Ref448761107"/>
      <w:r>
        <w:t xml:space="preserve">Figure </w:t>
      </w:r>
      <w:fldSimple w:instr=" SEQ Figure \* ARABIC ">
        <w:r w:rsidR="00E22E13">
          <w:rPr>
            <w:noProof/>
          </w:rPr>
          <w:t>24</w:t>
        </w:r>
      </w:fldSimple>
      <w:bookmarkEnd w:id="135"/>
      <w:r>
        <w:t xml:space="preserve">: Smaller </w:t>
      </w:r>
      <w:r w:rsidRPr="00664B9E">
        <w:t>producers - Issues limiting production in current WAs*</w:t>
      </w:r>
    </w:p>
    <w:p w:rsidR="00A11FE4" w:rsidRDefault="00A11FE4" w:rsidP="006916CE">
      <w:pPr>
        <w:pStyle w:val="PwCNormal"/>
      </w:pPr>
      <w:r>
        <w:rPr>
          <w:noProof/>
          <w:snapToGrid/>
          <w:lang w:eastAsia="en-AU"/>
        </w:rPr>
        <w:drawing>
          <wp:inline distT="0" distB="0" distL="0" distR="0" wp14:anchorId="047DC061" wp14:editId="674A045B">
            <wp:extent cx="4376691" cy="941033"/>
            <wp:effectExtent l="0" t="0" r="5080" b="0"/>
            <wp:docPr id="680" name="Picture 680" descr="Figure 24 shows  issues limiting production in current WAs for smaller producers.   They are, in descending order, none, compliance requirements, local road access and networks, quarry life limited by planning permit and incompatible or sensitive uses nearby. "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76691" cy="941033"/>
                    </a:xfrm>
                    <a:prstGeom prst="rect">
                      <a:avLst/>
                    </a:prstGeom>
                  </pic:spPr>
                </pic:pic>
              </a:graphicData>
            </a:graphic>
          </wp:inline>
        </w:drawing>
      </w:r>
      <w:r>
        <w:br/>
      </w:r>
      <w:r w:rsidRPr="006254AD">
        <w:rPr>
          <w:color w:val="A32020" w:themeColor="accent1"/>
          <w:sz w:val="16"/>
          <w:szCs w:val="16"/>
        </w:rPr>
        <w:t>Source: PwC analysis</w:t>
      </w:r>
      <w:r>
        <w:rPr>
          <w:i/>
          <w:color w:val="A32020" w:themeColor="accent1"/>
          <w:sz w:val="16"/>
          <w:szCs w:val="16"/>
        </w:rPr>
        <w:t xml:space="preserve">. </w:t>
      </w:r>
      <w:r w:rsidRPr="006254AD">
        <w:rPr>
          <w:color w:val="A32020" w:themeColor="accent1"/>
          <w:sz w:val="16"/>
          <w:szCs w:val="16"/>
        </w:rPr>
        <w:t>*</w:t>
      </w:r>
      <w:r w:rsidRPr="006254AD">
        <w:rPr>
          <w:color w:val="A32020" w:themeColor="accent1"/>
          <w:sz w:val="16"/>
          <w:szCs w:val="16"/>
          <w:lang w:val="en-US"/>
        </w:rPr>
        <w:t>Percentages illustrate proportion of respondents who indicated the issue affected them, hence numbers will not sum to 100 per cent.</w:t>
      </w:r>
    </w:p>
    <w:p w:rsidR="00A11FE4" w:rsidRDefault="00A11FE4">
      <w:pPr>
        <w:pStyle w:val="Caption"/>
      </w:pPr>
      <w:bookmarkStart w:id="136" w:name="_Ref448761112"/>
      <w:r>
        <w:t xml:space="preserve">Figure </w:t>
      </w:r>
      <w:fldSimple w:instr=" SEQ Figure \* ARABIC ">
        <w:r w:rsidR="00E22E13">
          <w:rPr>
            <w:noProof/>
          </w:rPr>
          <w:t>25</w:t>
        </w:r>
      </w:fldSimple>
      <w:bookmarkEnd w:id="136"/>
      <w:r>
        <w:t xml:space="preserve">: Smaller </w:t>
      </w:r>
      <w:r w:rsidRPr="000A4C66">
        <w:t>producers - Issues limiting expansion of current WAs</w:t>
      </w:r>
      <w:r>
        <w:t>*</w:t>
      </w:r>
    </w:p>
    <w:p w:rsidR="00A11FE4" w:rsidRDefault="00A11FE4" w:rsidP="006916CE">
      <w:pPr>
        <w:pStyle w:val="PwCNormal"/>
      </w:pPr>
      <w:r>
        <w:rPr>
          <w:noProof/>
          <w:snapToGrid/>
          <w:lang w:eastAsia="en-AU"/>
        </w:rPr>
        <w:drawing>
          <wp:inline distT="0" distB="0" distL="0" distR="0" wp14:anchorId="1D95FCF7" wp14:editId="1E164468">
            <wp:extent cx="4643021" cy="1189608"/>
            <wp:effectExtent l="0" t="0" r="5715" b="0"/>
            <wp:docPr id="681" name="Picture 681" descr="Figure 25 shows  issues limiting expansion in current WAs for smaller producers. They were, in descending order, water/catchment management, VCAT, DEDJTR work plan approvals, council approvals, Environmental Effects Statement, rehabilitation bond assessment and Aboriginal heritage."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43021" cy="1189608"/>
                    </a:xfrm>
                    <a:prstGeom prst="rect">
                      <a:avLst/>
                    </a:prstGeom>
                  </pic:spPr>
                </pic:pic>
              </a:graphicData>
            </a:graphic>
          </wp:inline>
        </w:drawing>
      </w:r>
      <w:r>
        <w:br/>
      </w:r>
      <w:r w:rsidRPr="006254AD">
        <w:rPr>
          <w:color w:val="A32020" w:themeColor="accent1"/>
          <w:sz w:val="16"/>
          <w:szCs w:val="16"/>
        </w:rPr>
        <w:t>Source: PwC analysis</w:t>
      </w:r>
      <w:r>
        <w:rPr>
          <w:i/>
          <w:color w:val="A32020" w:themeColor="accent1"/>
          <w:sz w:val="16"/>
          <w:szCs w:val="16"/>
        </w:rPr>
        <w:t xml:space="preserve">. </w:t>
      </w:r>
      <w:r w:rsidRPr="006254AD">
        <w:rPr>
          <w:color w:val="A32020" w:themeColor="accent1"/>
          <w:sz w:val="16"/>
          <w:szCs w:val="16"/>
        </w:rPr>
        <w:t>*</w:t>
      </w:r>
      <w:r w:rsidRPr="006254AD">
        <w:rPr>
          <w:color w:val="A32020" w:themeColor="accent1"/>
          <w:sz w:val="16"/>
          <w:szCs w:val="16"/>
          <w:lang w:val="en-US"/>
        </w:rPr>
        <w:t>Percentages illustrate proportion of respondents who indicated the issue affected them, hence numbers will not sum to 100 per cent.</w:t>
      </w:r>
    </w:p>
    <w:p w:rsidR="001915AF" w:rsidRPr="002D7A56" w:rsidRDefault="001915AF" w:rsidP="006916CE">
      <w:pPr>
        <w:pStyle w:val="PwCNormal"/>
      </w:pPr>
      <w:r w:rsidRPr="00D7732E">
        <w:t>Among the sma</w:t>
      </w:r>
      <w:r w:rsidRPr="001E1DC3">
        <w:t xml:space="preserve">ller producers, 19.0 per cent indicated no issues were currently limiting production from their quarries. </w:t>
      </w:r>
      <w:r w:rsidRPr="00587172">
        <w:t>8.0 per cent indicated compliance requirements were an issue and 5.5 per cent suggested local road access and networks affected their production.</w:t>
      </w:r>
    </w:p>
    <w:p w:rsidR="001915AF" w:rsidRDefault="001915AF" w:rsidP="006916CE">
      <w:pPr>
        <w:pStyle w:val="PwCNormal"/>
      </w:pPr>
      <w:r w:rsidRPr="001166B7">
        <w:t xml:space="preserve">Looking at future plans of these smaller producers, </w:t>
      </w:r>
      <w:r w:rsidRPr="00F31B27">
        <w:t xml:space="preserve">19.5 per cent of respondents suggested that </w:t>
      </w:r>
      <w:r w:rsidRPr="00F505E2">
        <w:t>water/catchment management was an issue</w:t>
      </w:r>
      <w:r w:rsidR="005B795A" w:rsidRPr="00546EA3">
        <w:t>, with VCAT at 18.0 per cent followed by DEDJTR and Council approvals at 16.5 per cent each.</w:t>
      </w:r>
      <w:r w:rsidR="005B795A" w:rsidRPr="006916CE">
        <w:rPr>
          <w:highlight w:val="yellow"/>
        </w:rPr>
        <w:t xml:space="preserve"> </w:t>
      </w:r>
    </w:p>
    <w:p w:rsidR="005B795A" w:rsidRPr="00417D11" w:rsidRDefault="005B795A" w:rsidP="006916CE">
      <w:pPr>
        <w:pStyle w:val="PwCNormal"/>
        <w:sectPr w:rsidR="005B795A" w:rsidRPr="00417D11" w:rsidSect="001A7D05">
          <w:pgSz w:w="11907" w:h="16840" w:code="9"/>
          <w:pgMar w:top="1588" w:right="1843" w:bottom="1418" w:left="1843" w:header="567" w:footer="567" w:gutter="0"/>
          <w:cols w:space="227"/>
          <w:docGrid w:linePitch="360"/>
        </w:sectPr>
      </w:pPr>
    </w:p>
    <w:p w:rsidR="00EC75B2" w:rsidRDefault="00EC75B2" w:rsidP="006916CE">
      <w:pPr>
        <w:pStyle w:val="Heading2"/>
      </w:pPr>
      <w:bookmarkStart w:id="137" w:name="_Toc448153181"/>
      <w:bookmarkStart w:id="138" w:name="_Ref448247778"/>
      <w:bookmarkStart w:id="139" w:name="_Ref448915939"/>
      <w:bookmarkStart w:id="140" w:name="_Toc448917116"/>
      <w:bookmarkStart w:id="141" w:name="_Toc448924823"/>
      <w:bookmarkStart w:id="142" w:name="_Toc448925128"/>
      <w:bookmarkStart w:id="143" w:name="_Toc448935467"/>
      <w:bookmarkStart w:id="144" w:name="_Toc448936086"/>
      <w:bookmarkStart w:id="145" w:name="_Toc449603855"/>
      <w:bookmarkStart w:id="146" w:name="_Toc449603921"/>
      <w:bookmarkStart w:id="147" w:name="_Toc449949930"/>
      <w:bookmarkStart w:id="148" w:name="_Toc449960255"/>
      <w:bookmarkStart w:id="149" w:name="_Toc451239534"/>
      <w:r>
        <w:t xml:space="preserve">Strategic Resource </w:t>
      </w:r>
      <w:bookmarkEnd w:id="130"/>
      <w:r w:rsidR="00C625A5">
        <w:t>Determination</w:t>
      </w:r>
      <w:bookmarkEnd w:id="137"/>
      <w:bookmarkEnd w:id="138"/>
      <w:bookmarkEnd w:id="139"/>
      <w:bookmarkEnd w:id="140"/>
      <w:bookmarkEnd w:id="141"/>
      <w:bookmarkEnd w:id="142"/>
      <w:bookmarkEnd w:id="143"/>
      <w:bookmarkEnd w:id="144"/>
      <w:bookmarkEnd w:id="145"/>
      <w:bookmarkEnd w:id="146"/>
      <w:bookmarkEnd w:id="147"/>
      <w:bookmarkEnd w:id="148"/>
      <w:bookmarkEnd w:id="149"/>
      <w:r>
        <w:t xml:space="preserve"> </w:t>
      </w:r>
    </w:p>
    <w:p w:rsidR="009C7D8B" w:rsidRDefault="009C7D8B" w:rsidP="00E060CE">
      <w:pPr>
        <w:pStyle w:val="Heading6"/>
      </w:pPr>
      <w:bookmarkStart w:id="150" w:name="_Toc445741896"/>
      <w:bookmarkStart w:id="151" w:name="_Toc445824566"/>
      <w:bookmarkStart w:id="152" w:name="_Toc445905496"/>
      <w:bookmarkStart w:id="153" w:name="_Toc445905915"/>
      <w:bookmarkStart w:id="154" w:name="_Toc445905996"/>
      <w:bookmarkStart w:id="155" w:name="_Toc445906112"/>
      <w:bookmarkStart w:id="156" w:name="_Toc445973756"/>
      <w:bookmarkStart w:id="157" w:name="_Toc446068806"/>
      <w:bookmarkStart w:id="158" w:name="_Toc445741897"/>
      <w:bookmarkStart w:id="159" w:name="_Toc445824567"/>
      <w:bookmarkStart w:id="160" w:name="_Toc445905497"/>
      <w:bookmarkStart w:id="161" w:name="_Toc445905916"/>
      <w:bookmarkStart w:id="162" w:name="_Toc445905997"/>
      <w:bookmarkStart w:id="163" w:name="_Toc445906113"/>
      <w:bookmarkStart w:id="164" w:name="_Toc445973757"/>
      <w:bookmarkStart w:id="165" w:name="_Toc446068807"/>
      <w:bookmarkStart w:id="166" w:name="_Toc445741898"/>
      <w:bookmarkStart w:id="167" w:name="_Toc445824568"/>
      <w:bookmarkStart w:id="168" w:name="_Toc445905498"/>
      <w:bookmarkStart w:id="169" w:name="_Toc445905917"/>
      <w:bookmarkStart w:id="170" w:name="_Toc445905998"/>
      <w:bookmarkStart w:id="171" w:name="_Toc445906114"/>
      <w:bookmarkStart w:id="172" w:name="_Toc445973758"/>
      <w:bookmarkStart w:id="173" w:name="_Toc446068808"/>
      <w:bookmarkStart w:id="174" w:name="_Toc445741899"/>
      <w:bookmarkStart w:id="175" w:name="_Toc445824569"/>
      <w:bookmarkStart w:id="176" w:name="_Toc445905499"/>
      <w:bookmarkStart w:id="177" w:name="_Toc445905918"/>
      <w:bookmarkStart w:id="178" w:name="_Toc445905999"/>
      <w:bookmarkStart w:id="179" w:name="_Toc445906115"/>
      <w:bookmarkStart w:id="180" w:name="_Toc445973759"/>
      <w:bookmarkStart w:id="181" w:name="_Toc446068809"/>
      <w:bookmarkStart w:id="182" w:name="_Toc445741900"/>
      <w:bookmarkStart w:id="183" w:name="_Toc445824570"/>
      <w:bookmarkStart w:id="184" w:name="_Toc445905500"/>
      <w:bookmarkStart w:id="185" w:name="_Toc445905919"/>
      <w:bookmarkStart w:id="186" w:name="_Toc445906000"/>
      <w:bookmarkStart w:id="187" w:name="_Toc445906116"/>
      <w:bookmarkStart w:id="188" w:name="_Toc445973760"/>
      <w:bookmarkStart w:id="189" w:name="_Toc44606881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Overview</w:t>
      </w:r>
    </w:p>
    <w:p w:rsidR="00ED071A" w:rsidRDefault="00C9240B" w:rsidP="006916CE">
      <w:pPr>
        <w:pStyle w:val="PwCNormal"/>
      </w:pPr>
      <w:r>
        <w:t xml:space="preserve">In consultation with DEDJTR and the Taskforce, PwC has developed a set of Strategic Resource Determination (SRD) criteria that have been applied in the analysis. These criteria provide for identification of particular extractive resources and extractive resource interest areas that may warrant increased policy focus in the future. </w:t>
      </w:r>
      <w:r w:rsidR="00556EFE">
        <w:t>The criteria were agreed with DEDJTR and the Taskforce prior to the collection and analysis of industry data.</w:t>
      </w:r>
    </w:p>
    <w:p w:rsidR="00ED071A" w:rsidRDefault="00EC75B2" w:rsidP="00ED071A">
      <w:pPr>
        <w:pStyle w:val="PwCNormal"/>
      </w:pPr>
      <w:r>
        <w:t xml:space="preserve">Supported by </w:t>
      </w:r>
      <w:r w:rsidR="0097425A">
        <w:t xml:space="preserve">the granularity of </w:t>
      </w:r>
      <w:r>
        <w:t xml:space="preserve">the </w:t>
      </w:r>
      <w:r w:rsidR="0097425A">
        <w:t xml:space="preserve">analysis, these criteria are applied at the individual work authority and locality level throughout the </w:t>
      </w:r>
      <w:r w:rsidR="008837A4">
        <w:t>S</w:t>
      </w:r>
      <w:r w:rsidR="0097425A">
        <w:t>tate and across the analysis period</w:t>
      </w:r>
      <w:r w:rsidR="00B15100">
        <w:t>. This assessment</w:t>
      </w:r>
      <w:r w:rsidR="0097425A">
        <w:t xml:space="preserve"> </w:t>
      </w:r>
      <w:r w:rsidR="00B15100">
        <w:t xml:space="preserve">provides </w:t>
      </w:r>
      <w:r w:rsidR="003064D4">
        <w:t>a</w:t>
      </w:r>
      <w:r w:rsidR="0097425A">
        <w:t xml:space="preserve"> detailed understanding of the particular locations and resources that could be critical to the State’s development. </w:t>
      </w:r>
    </w:p>
    <w:p w:rsidR="00751B1B" w:rsidRDefault="00751B1B" w:rsidP="0089081A">
      <w:pPr>
        <w:pStyle w:val="PwCNormal"/>
      </w:pPr>
      <w:r w:rsidRPr="00737A6C">
        <w:t xml:space="preserve">An overview of the SRD criteria is provided in </w:t>
      </w:r>
      <w:r w:rsidRPr="0089081A">
        <w:rPr>
          <w:rStyle w:val="PwCNormalChar"/>
        </w:rPr>
        <w:fldChar w:fldCharType="begin"/>
      </w:r>
      <w:r w:rsidRPr="0089081A">
        <w:rPr>
          <w:rStyle w:val="PwCNormalChar"/>
        </w:rPr>
        <w:instrText xml:space="preserve"> REF _Ref445915415 \h </w:instrText>
      </w:r>
      <w:r w:rsidRPr="0089081A">
        <w:rPr>
          <w:rStyle w:val="PwCNormalChar"/>
        </w:rPr>
      </w:r>
      <w:r w:rsidRPr="0089081A">
        <w:rPr>
          <w:rStyle w:val="PwCNormalChar"/>
        </w:rPr>
        <w:fldChar w:fldCharType="separate"/>
      </w:r>
      <w:r w:rsidR="00E22E13">
        <w:t xml:space="preserve">Figure </w:t>
      </w:r>
      <w:r w:rsidR="00E22E13">
        <w:rPr>
          <w:noProof/>
        </w:rPr>
        <w:t>26</w:t>
      </w:r>
      <w:r w:rsidRPr="0089081A">
        <w:rPr>
          <w:rStyle w:val="PwCNormalChar"/>
        </w:rPr>
        <w:fldChar w:fldCharType="end"/>
      </w:r>
      <w:r w:rsidRPr="00737A6C">
        <w:t>. Each criterion is described further below</w:t>
      </w:r>
      <w:r>
        <w:t>.</w:t>
      </w:r>
    </w:p>
    <w:p w:rsidR="00751B1B" w:rsidRDefault="00751B1B" w:rsidP="00751B1B">
      <w:pPr>
        <w:pStyle w:val="Caption"/>
      </w:pPr>
      <w:r>
        <w:t xml:space="preserve"> </w:t>
      </w:r>
      <w:bookmarkStart w:id="190" w:name="_Ref445915415"/>
      <w:r>
        <w:t xml:space="preserve">Figure </w:t>
      </w:r>
      <w:fldSimple w:instr=" SEQ Figure \* ARABIC ">
        <w:r w:rsidR="00E22E13">
          <w:rPr>
            <w:noProof/>
          </w:rPr>
          <w:t>26</w:t>
        </w:r>
      </w:fldSimple>
      <w:bookmarkEnd w:id="190"/>
      <w:r>
        <w:t xml:space="preserve">: Overview of the </w:t>
      </w:r>
      <w:r w:rsidR="00FF443C">
        <w:t>S</w:t>
      </w:r>
      <w:r>
        <w:t xml:space="preserve">trategic </w:t>
      </w:r>
      <w:r w:rsidR="00FF443C">
        <w:t>R</w:t>
      </w:r>
      <w:r>
        <w:t xml:space="preserve">esource </w:t>
      </w:r>
      <w:r w:rsidR="00FF443C">
        <w:t>D</w:t>
      </w:r>
      <w:r>
        <w:t>etermination criteria</w:t>
      </w:r>
    </w:p>
    <w:p w:rsidR="00AF0301" w:rsidRDefault="00006EF2" w:rsidP="006916CE">
      <w:pPr>
        <w:pStyle w:val="Sources"/>
        <w:rPr>
          <w:b/>
        </w:rPr>
      </w:pPr>
      <w:r w:rsidRPr="00006EF2">
        <w:rPr>
          <w:noProof/>
          <w:snapToGrid/>
          <w:lang w:eastAsia="en-AU"/>
        </w:rPr>
        <w:t xml:space="preserve"> </w:t>
      </w:r>
      <w:r w:rsidR="00265E4D">
        <w:rPr>
          <w:noProof/>
          <w:snapToGrid/>
          <w:lang w:eastAsia="en-AU"/>
        </w:rPr>
        <w:drawing>
          <wp:inline distT="0" distB="0" distL="0" distR="0" wp14:anchorId="6CA8653C" wp14:editId="13409A9F">
            <wp:extent cx="5220335" cy="3436721"/>
            <wp:effectExtent l="0" t="0" r="0" b="0"/>
            <wp:docPr id="17413" name="Picture 17413" descr="Figure 26 shows the four strategic resource determination criteria. They are: Threatened resource types, resource depletion, significant production and resources important to Melbourne. "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20335" cy="3436721"/>
                    </a:xfrm>
                    <a:prstGeom prst="rect">
                      <a:avLst/>
                    </a:prstGeom>
                  </pic:spPr>
                </pic:pic>
              </a:graphicData>
            </a:graphic>
          </wp:inline>
        </w:drawing>
      </w:r>
      <w:r w:rsidR="00264CDE">
        <w:rPr>
          <w:noProof/>
          <w:snapToGrid/>
          <w:lang w:eastAsia="en-AU"/>
        </w:rPr>
        <w:t>Source: PwC</w:t>
      </w:r>
    </w:p>
    <w:p w:rsidR="00916022" w:rsidRPr="00BA668C" w:rsidRDefault="00916022" w:rsidP="006916CE">
      <w:pPr>
        <w:pStyle w:val="ChapterNumberedList1"/>
        <w:keepNext/>
        <w:rPr>
          <w:b/>
        </w:rPr>
      </w:pPr>
      <w:r>
        <w:rPr>
          <w:b/>
        </w:rPr>
        <w:t xml:space="preserve">Threatened resource types: </w:t>
      </w:r>
      <w:r>
        <w:t xml:space="preserve">identifies particular extractive resources that are in relatively short supply in the </w:t>
      </w:r>
      <w:r w:rsidR="00DB0515">
        <w:t>S</w:t>
      </w:r>
      <w:r>
        <w:t xml:space="preserve">tate relative to the level of projected demand. Identification of known locations of these resources </w:t>
      </w:r>
      <w:r w:rsidR="00D041AE">
        <w:t xml:space="preserve">has </w:t>
      </w:r>
      <w:r>
        <w:t xml:space="preserve">also </w:t>
      </w:r>
      <w:r w:rsidR="00D041AE">
        <w:t xml:space="preserve">been </w:t>
      </w:r>
      <w:r>
        <w:t xml:space="preserve">undertaken, where possible. This criterion </w:t>
      </w:r>
      <w:r w:rsidR="00D041AE">
        <w:t>has</w:t>
      </w:r>
      <w:r>
        <w:t xml:space="preserve"> regard to the potential substitutability of resources in considering which particular extractive resources could be subject to strong price pressures in </w:t>
      </w:r>
      <w:r w:rsidR="00DB0515">
        <w:t xml:space="preserve">the </w:t>
      </w:r>
      <w:r w:rsidRPr="00BA668C">
        <w:t xml:space="preserve">future. </w:t>
      </w:r>
    </w:p>
    <w:p w:rsidR="00916022" w:rsidRPr="006916CE" w:rsidRDefault="00916022" w:rsidP="006916CE">
      <w:pPr>
        <w:pStyle w:val="ChapterNumberedList1"/>
        <w:keepNext/>
        <w:rPr>
          <w:b/>
        </w:rPr>
      </w:pPr>
      <w:r>
        <w:rPr>
          <w:b/>
        </w:rPr>
        <w:t xml:space="preserve">Resource depletion - Locations where supply is unable to meet demand due to exhaustion of reserves: </w:t>
      </w:r>
      <w:r>
        <w:t>identifies locations in Victoria where supply is unable to match demand due to significant exhaustion of existing licensed reserves across the analysis period. This criterion points to locations where licensing of new resources will be required to replace exhausted assets, with potential implications for policies governing land use.</w:t>
      </w:r>
    </w:p>
    <w:p w:rsidR="0097425A" w:rsidRPr="00417D11" w:rsidRDefault="00FF443C" w:rsidP="006916CE">
      <w:pPr>
        <w:pStyle w:val="ChapterNumberedList1"/>
        <w:keepNext/>
        <w:rPr>
          <w:b/>
        </w:rPr>
      </w:pPr>
      <w:r>
        <w:rPr>
          <w:b/>
        </w:rPr>
        <w:t xml:space="preserve">Significant production - </w:t>
      </w:r>
      <w:r w:rsidR="00454D3E">
        <w:rPr>
          <w:b/>
        </w:rPr>
        <w:t xml:space="preserve">Locations </w:t>
      </w:r>
      <w:r w:rsidR="00210EEB">
        <w:rPr>
          <w:b/>
        </w:rPr>
        <w:t>that produce significant volumes of extractive resources</w:t>
      </w:r>
      <w:r w:rsidR="0097425A">
        <w:rPr>
          <w:b/>
        </w:rPr>
        <w:t xml:space="preserve">: </w:t>
      </w:r>
      <w:r w:rsidR="0097425A">
        <w:t xml:space="preserve">identifies those locations </w:t>
      </w:r>
      <w:r>
        <w:t>that deliver large volumes of extractive resources across the analysis period</w:t>
      </w:r>
      <w:r w:rsidR="00EA0AD1">
        <w:t xml:space="preserve">. This criterion </w:t>
      </w:r>
      <w:r>
        <w:t xml:space="preserve">points to the Victorian </w:t>
      </w:r>
      <w:r w:rsidR="00EA0AD1">
        <w:t xml:space="preserve">locations </w:t>
      </w:r>
      <w:r>
        <w:t>which could be considered for protection of existing resources to support the State’s development</w:t>
      </w:r>
      <w:r w:rsidR="00F25514">
        <w:t>.</w:t>
      </w:r>
      <w:r w:rsidR="00916435">
        <w:t xml:space="preserve"> </w:t>
      </w:r>
    </w:p>
    <w:p w:rsidR="00EA0AD1" w:rsidRPr="0089081A" w:rsidRDefault="00FF443C" w:rsidP="006916CE">
      <w:pPr>
        <w:pStyle w:val="ChapterNumberedList1"/>
        <w:keepNext/>
        <w:rPr>
          <w:b/>
        </w:rPr>
      </w:pPr>
      <w:r>
        <w:rPr>
          <w:b/>
        </w:rPr>
        <w:t xml:space="preserve">Resources important to Melbourne - </w:t>
      </w:r>
      <w:r w:rsidR="00210EEB">
        <w:rPr>
          <w:b/>
        </w:rPr>
        <w:t>L</w:t>
      </w:r>
      <w:r w:rsidR="00EA0AD1">
        <w:rPr>
          <w:b/>
        </w:rPr>
        <w:t xml:space="preserve">ocations critical to supporting Greater Melbourne’s future: </w:t>
      </w:r>
      <w:r w:rsidR="00EA0AD1">
        <w:t xml:space="preserve">identifies those locations that are expected to deliver significant volumes of resource to Greater Melbourne across the analysis period. This criterion will identify those locations that </w:t>
      </w:r>
      <w:r w:rsidR="003252C8">
        <w:t xml:space="preserve">could </w:t>
      </w:r>
      <w:r w:rsidR="00EA0AD1">
        <w:t>result in significant infrastructure cost increases in Melbourne should encroachment or sterilisation of extractive resources occur.</w:t>
      </w:r>
    </w:p>
    <w:p w:rsidR="00916435" w:rsidRPr="00916435" w:rsidRDefault="00EC75B2" w:rsidP="00916435">
      <w:pPr>
        <w:pStyle w:val="PwCNormal"/>
      </w:pPr>
      <w:r>
        <w:t>M</w:t>
      </w:r>
      <w:r w:rsidR="00916435">
        <w:t>easures have been developed for each criteri</w:t>
      </w:r>
      <w:r w:rsidR="00FF443C">
        <w:t>on</w:t>
      </w:r>
      <w:r w:rsidR="00383078">
        <w:t xml:space="preserve"> and are detailed in </w:t>
      </w:r>
      <w:r w:rsidR="00D041AE">
        <w:fldChar w:fldCharType="begin"/>
      </w:r>
      <w:r w:rsidR="00D041AE">
        <w:instrText xml:space="preserve"> REF _Ref448930804 \n \h </w:instrText>
      </w:r>
      <w:r w:rsidR="00D041AE">
        <w:fldChar w:fldCharType="separate"/>
      </w:r>
      <w:r w:rsidR="00E22E13">
        <w:t>Appendix D</w:t>
      </w:r>
      <w:r w:rsidR="00D041AE">
        <w:fldChar w:fldCharType="end"/>
      </w:r>
      <w:r w:rsidR="00916435">
        <w:t>.</w:t>
      </w:r>
    </w:p>
    <w:p w:rsidR="00751B1B" w:rsidRPr="00966EFE" w:rsidRDefault="00751B1B" w:rsidP="00E060CE">
      <w:pPr>
        <w:pStyle w:val="Heading6"/>
      </w:pPr>
      <w:r>
        <w:t>Respondent confidentiality</w:t>
      </w:r>
    </w:p>
    <w:p w:rsidR="00751B1B" w:rsidRDefault="004C4434" w:rsidP="00751B1B">
      <w:pPr>
        <w:pStyle w:val="PwCNormal"/>
      </w:pPr>
      <w:r>
        <w:t xml:space="preserve">Although </w:t>
      </w:r>
      <w:r w:rsidR="009C7D8B">
        <w:t xml:space="preserve">the </w:t>
      </w:r>
      <w:r>
        <w:t>analysis has been conducted at a granular level, s</w:t>
      </w:r>
      <w:r w:rsidR="00751B1B">
        <w:t xml:space="preserve">everal aggregation triggers have been applied in the supply analysis to protect the confidentiality of survey respondents and ensure that information revealed in this report cannot be attributed to particular companies or individuals. These triggers were implemented across both the SRD criteria and the broader reporting of results. </w:t>
      </w:r>
    </w:p>
    <w:p w:rsidR="00751B1B" w:rsidRDefault="00751B1B" w:rsidP="00751B1B">
      <w:pPr>
        <w:pStyle w:val="PwCNormal"/>
      </w:pPr>
      <w:r>
        <w:t xml:space="preserve">The approach used to preserve confidentiality was developed by PwC in consultation with DEDJTR and the Taskforce. PwC’s application of the triggers was subsequently vetted and approved by both DEDJTR and the Taskforce prior to the study’s reports being produced. </w:t>
      </w:r>
    </w:p>
    <w:p w:rsidR="00751B1B" w:rsidRDefault="00751B1B" w:rsidP="00751B1B">
      <w:pPr>
        <w:pStyle w:val="PwCNormal"/>
      </w:pPr>
      <w:r>
        <w:t xml:space="preserve">More detail on the approach to respondent confidentiality is provided in </w:t>
      </w:r>
      <w:r>
        <w:fldChar w:fldCharType="begin"/>
      </w:r>
      <w:r>
        <w:instrText xml:space="preserve"> REF _Ref445638260 \n \h </w:instrText>
      </w:r>
      <w:r>
        <w:fldChar w:fldCharType="separate"/>
      </w:r>
      <w:r w:rsidR="00E22E13">
        <w:t>Appendix A</w:t>
      </w:r>
      <w:r>
        <w:fldChar w:fldCharType="end"/>
      </w:r>
      <w:r>
        <w:t>.</w:t>
      </w:r>
    </w:p>
    <w:p w:rsidR="00506A5E" w:rsidRDefault="00506A5E" w:rsidP="00A03F70">
      <w:pPr>
        <w:pStyle w:val="Heading6"/>
        <w:sectPr w:rsidR="00506A5E" w:rsidSect="001A7D05">
          <w:pgSz w:w="11907" w:h="16840" w:code="9"/>
          <w:pgMar w:top="1588" w:right="1843" w:bottom="1418" w:left="1843" w:header="567" w:footer="567" w:gutter="0"/>
          <w:cols w:space="227"/>
          <w:titlePg/>
          <w:docGrid w:linePitch="360"/>
        </w:sectPr>
      </w:pPr>
      <w:bookmarkStart w:id="191" w:name="_Ref447710657"/>
      <w:bookmarkStart w:id="192" w:name="_Ref445991525"/>
    </w:p>
    <w:p w:rsidR="00A03F70" w:rsidRDefault="00A03F70" w:rsidP="00A03F70">
      <w:pPr>
        <w:pStyle w:val="Heading6"/>
      </w:pPr>
      <w:r>
        <w:t>Strategic resource determination – Consolidated view</w:t>
      </w:r>
    </w:p>
    <w:p w:rsidR="00A03F70" w:rsidRDefault="00A03F70" w:rsidP="00A03F70">
      <w:pPr>
        <w:pStyle w:val="PwCNormal"/>
      </w:pPr>
      <w:r>
        <w:t xml:space="preserve">Resource locations that are identified only within a single SRD criterion are potentially less critical than resource locations identified across two or more SRD criteria. As such, the analysis detailed in this section takes a consolidated view across the SRD criteria to assess those resource locations deemed to be the most critical to Victoria’s development. </w:t>
      </w:r>
    </w:p>
    <w:p w:rsidR="00A03F70" w:rsidRDefault="00A03F70" w:rsidP="00A03F70">
      <w:pPr>
        <w:pStyle w:val="BlockText2Position"/>
      </w:pPr>
      <w:r w:rsidRPr="00E7107D">
        <w:rPr>
          <w:b/>
          <w:i/>
        </w:rPr>
        <w:t>Strategic resource locations</w:t>
      </w:r>
      <w:r>
        <w:t xml:space="preserve"> are those areas that are identified across two or more strategic resource criteria AND contribute a relatively significant proportion of the State’s supply for a resource or </w:t>
      </w:r>
      <w:r w:rsidR="00DB0515">
        <w:t xml:space="preserve">multiple </w:t>
      </w:r>
      <w:r>
        <w:t xml:space="preserve">resources. </w:t>
      </w:r>
    </w:p>
    <w:p w:rsidR="00A03F70" w:rsidRDefault="00A03F70" w:rsidP="00A03F70">
      <w:pPr>
        <w:pStyle w:val="PwCNormal"/>
      </w:pPr>
      <w:r>
        <w:t xml:space="preserve">The consolidated view across SRD criteria shows those resource locations that are the best candidates for: </w:t>
      </w:r>
    </w:p>
    <w:p w:rsidR="00A03F70" w:rsidRDefault="00A03F70" w:rsidP="00A03F70">
      <w:pPr>
        <w:pStyle w:val="ListBullet"/>
      </w:pPr>
      <w:r>
        <w:t>protection of existing resources in the area</w:t>
      </w:r>
    </w:p>
    <w:p w:rsidR="00A03F70" w:rsidRDefault="00A03F70" w:rsidP="00A03F70">
      <w:pPr>
        <w:pStyle w:val="ListBullet"/>
      </w:pPr>
      <w:r>
        <w:t>ensuring policy mechanisms provide for licensing of new resources in the area.</w:t>
      </w:r>
    </w:p>
    <w:p w:rsidR="00D041AE" w:rsidRDefault="00D041AE" w:rsidP="006916CE">
      <w:pPr>
        <w:pStyle w:val="PwCNormal"/>
      </w:pPr>
      <w:r>
        <w:t xml:space="preserve">Resource locations identified through the consolidated view are then ranked according to their proportionate contribution to the State’s future extractives needs. </w:t>
      </w:r>
      <w:r>
        <w:fldChar w:fldCharType="begin"/>
      </w:r>
      <w:r>
        <w:instrText xml:space="preserve"> REF _Ref448913671 \h </w:instrText>
      </w:r>
      <w:r>
        <w:fldChar w:fldCharType="separate"/>
      </w:r>
      <w:r w:rsidR="00E22E13">
        <w:t xml:space="preserve">Table </w:t>
      </w:r>
      <w:r w:rsidR="00E22E13">
        <w:rPr>
          <w:noProof/>
        </w:rPr>
        <w:t>9</w:t>
      </w:r>
      <w:r>
        <w:fldChar w:fldCharType="end"/>
      </w:r>
      <w:r>
        <w:t xml:space="preserve"> provides a summary of this analysis. </w:t>
      </w:r>
    </w:p>
    <w:p w:rsidR="00A03F70" w:rsidRPr="00E7107D" w:rsidRDefault="00DB0515" w:rsidP="006916CE">
      <w:pPr>
        <w:pStyle w:val="BlockText2"/>
        <w:keepNext/>
        <w:rPr>
          <w:b/>
          <w:sz w:val="22"/>
          <w:szCs w:val="22"/>
        </w:rPr>
      </w:pPr>
      <w:r>
        <w:rPr>
          <w:b/>
          <w:sz w:val="22"/>
          <w:szCs w:val="22"/>
        </w:rPr>
        <w:t>Interpreting the results</w:t>
      </w:r>
    </w:p>
    <w:p w:rsidR="00A03F70" w:rsidRPr="002F1238" w:rsidRDefault="00DB0515" w:rsidP="006916CE">
      <w:pPr>
        <w:pStyle w:val="BlockText2"/>
        <w:keepNext/>
        <w:rPr>
          <w:szCs w:val="22"/>
        </w:rPr>
      </w:pPr>
      <w:r>
        <w:rPr>
          <w:sz w:val="20"/>
          <w:szCs w:val="22"/>
        </w:rPr>
        <w:t>Strategic resource areas illustrated by</w:t>
      </w:r>
      <w:r w:rsidR="00A03F70" w:rsidRPr="00E7107D">
        <w:rPr>
          <w:sz w:val="20"/>
          <w:szCs w:val="22"/>
        </w:rPr>
        <w:t xml:space="preserve"> Victorian LGAs are listed in </w:t>
      </w:r>
      <w:r w:rsidR="00AE3828">
        <w:rPr>
          <w:sz w:val="20"/>
          <w:szCs w:val="22"/>
        </w:rPr>
        <w:fldChar w:fldCharType="begin"/>
      </w:r>
      <w:r w:rsidR="00AE3828">
        <w:rPr>
          <w:sz w:val="20"/>
          <w:szCs w:val="22"/>
        </w:rPr>
        <w:instrText xml:space="preserve"> REF _Ref448913671 \h  \* MERGEFORMAT </w:instrText>
      </w:r>
      <w:r w:rsidR="00AE3828">
        <w:rPr>
          <w:sz w:val="20"/>
          <w:szCs w:val="22"/>
        </w:rPr>
      </w:r>
      <w:r w:rsidR="00AE3828">
        <w:rPr>
          <w:sz w:val="20"/>
          <w:szCs w:val="22"/>
        </w:rPr>
        <w:fldChar w:fldCharType="separate"/>
      </w:r>
      <w:r w:rsidR="00E22E13" w:rsidRPr="00E22E13">
        <w:rPr>
          <w:sz w:val="20"/>
          <w:szCs w:val="22"/>
        </w:rPr>
        <w:t>Table 9</w:t>
      </w:r>
      <w:r w:rsidR="00AE3828">
        <w:rPr>
          <w:sz w:val="20"/>
          <w:szCs w:val="22"/>
        </w:rPr>
        <w:fldChar w:fldCharType="end"/>
      </w:r>
      <w:r w:rsidR="00A03F70" w:rsidRPr="00E7107D">
        <w:rPr>
          <w:sz w:val="20"/>
          <w:szCs w:val="22"/>
        </w:rPr>
        <w:t xml:space="preserve">. The columns representing each SRD criterion contain letters denoting the rock types considered in the analysis. </w:t>
      </w:r>
      <w:r>
        <w:rPr>
          <w:sz w:val="20"/>
          <w:szCs w:val="22"/>
        </w:rPr>
        <w:t>These are defined by</w:t>
      </w:r>
      <w:r w:rsidR="00A03F70" w:rsidRPr="00E7107D">
        <w:rPr>
          <w:sz w:val="20"/>
          <w:szCs w:val="22"/>
        </w:rPr>
        <w:t xml:space="preserve">: </w:t>
      </w:r>
    </w:p>
    <w:p w:rsidR="00A03F70" w:rsidRPr="002F1238" w:rsidRDefault="00A03F70" w:rsidP="006916CE">
      <w:pPr>
        <w:pStyle w:val="BlockText2"/>
        <w:keepNext/>
        <w:rPr>
          <w:szCs w:val="22"/>
        </w:rPr>
      </w:pPr>
      <w:r w:rsidRPr="00E7107D">
        <w:rPr>
          <w:sz w:val="20"/>
          <w:szCs w:val="22"/>
        </w:rPr>
        <w:t xml:space="preserve">H denotes </w:t>
      </w:r>
      <w:r w:rsidR="000A4F74">
        <w:rPr>
          <w:sz w:val="20"/>
          <w:szCs w:val="22"/>
        </w:rPr>
        <w:t>H</w:t>
      </w:r>
      <w:r w:rsidRPr="00E7107D">
        <w:rPr>
          <w:sz w:val="20"/>
          <w:szCs w:val="22"/>
        </w:rPr>
        <w:t>ard rock</w:t>
      </w:r>
      <w:r w:rsidR="00DB0515">
        <w:rPr>
          <w:sz w:val="20"/>
          <w:szCs w:val="22"/>
        </w:rPr>
        <w:t xml:space="preserve"> (and Ho denotes a sub category of hard rock, hornfels)</w:t>
      </w:r>
    </w:p>
    <w:p w:rsidR="00A03F70" w:rsidRPr="002F1238" w:rsidRDefault="00A03F70" w:rsidP="006916CE">
      <w:pPr>
        <w:pStyle w:val="BlockText2"/>
        <w:keepNext/>
        <w:rPr>
          <w:szCs w:val="22"/>
        </w:rPr>
      </w:pPr>
      <w:r w:rsidRPr="00E7107D">
        <w:rPr>
          <w:sz w:val="20"/>
          <w:szCs w:val="22"/>
        </w:rPr>
        <w:t>S denotes Sand and gravel</w:t>
      </w:r>
    </w:p>
    <w:p w:rsidR="00A03F70" w:rsidRPr="002F1238" w:rsidRDefault="00A03F70" w:rsidP="006916CE">
      <w:pPr>
        <w:pStyle w:val="BlockText2"/>
        <w:keepNext/>
        <w:rPr>
          <w:szCs w:val="22"/>
        </w:rPr>
      </w:pPr>
      <w:r w:rsidRPr="00E7107D">
        <w:rPr>
          <w:sz w:val="20"/>
          <w:szCs w:val="22"/>
        </w:rPr>
        <w:t>L denotes Limestone</w:t>
      </w:r>
    </w:p>
    <w:p w:rsidR="00A03F70" w:rsidRPr="002F1238" w:rsidRDefault="00A03F70" w:rsidP="006916CE">
      <w:pPr>
        <w:pStyle w:val="BlockText2"/>
        <w:keepNext/>
        <w:rPr>
          <w:szCs w:val="22"/>
        </w:rPr>
      </w:pPr>
      <w:r w:rsidRPr="00E7107D">
        <w:rPr>
          <w:sz w:val="20"/>
          <w:szCs w:val="22"/>
        </w:rPr>
        <w:t>C denotes Clay and clay shale</w:t>
      </w:r>
    </w:p>
    <w:p w:rsidR="00A03F70" w:rsidRDefault="00A03F70" w:rsidP="006916CE">
      <w:pPr>
        <w:pStyle w:val="BlockText2"/>
        <w:keepNext/>
        <w:rPr>
          <w:sz w:val="20"/>
          <w:szCs w:val="22"/>
        </w:rPr>
      </w:pPr>
      <w:r w:rsidRPr="00E7107D">
        <w:rPr>
          <w:sz w:val="20"/>
          <w:szCs w:val="22"/>
        </w:rPr>
        <w:t xml:space="preserve">An LGA will </w:t>
      </w:r>
      <w:r w:rsidR="00DB0515">
        <w:rPr>
          <w:sz w:val="20"/>
          <w:szCs w:val="22"/>
        </w:rPr>
        <w:t xml:space="preserve">be given a letter for each criterion it has been identified under. </w:t>
      </w:r>
      <w:r w:rsidRPr="00E7107D">
        <w:rPr>
          <w:sz w:val="20"/>
          <w:szCs w:val="22"/>
        </w:rPr>
        <w:t xml:space="preserve">For instance, South Gippsland has the letters H and S under criterion 1, denoting that </w:t>
      </w:r>
      <w:r>
        <w:rPr>
          <w:sz w:val="20"/>
          <w:szCs w:val="22"/>
        </w:rPr>
        <w:t xml:space="preserve">the region was </w:t>
      </w:r>
      <w:r w:rsidRPr="00E7107D">
        <w:rPr>
          <w:sz w:val="20"/>
          <w:szCs w:val="22"/>
        </w:rPr>
        <w:t xml:space="preserve">identified under criterion 1 for both </w:t>
      </w:r>
      <w:r w:rsidR="000A4F74">
        <w:rPr>
          <w:sz w:val="20"/>
          <w:szCs w:val="22"/>
        </w:rPr>
        <w:t>h</w:t>
      </w:r>
      <w:r w:rsidRPr="00E7107D">
        <w:rPr>
          <w:sz w:val="20"/>
          <w:szCs w:val="22"/>
        </w:rPr>
        <w:t xml:space="preserve">ard rock and </w:t>
      </w:r>
      <w:r w:rsidR="00D041AE">
        <w:rPr>
          <w:sz w:val="20"/>
          <w:szCs w:val="22"/>
        </w:rPr>
        <w:t xml:space="preserve">for </w:t>
      </w:r>
      <w:r w:rsidR="000A4F74">
        <w:rPr>
          <w:sz w:val="20"/>
          <w:szCs w:val="22"/>
        </w:rPr>
        <w:t>s</w:t>
      </w:r>
      <w:r w:rsidRPr="00E7107D">
        <w:rPr>
          <w:sz w:val="20"/>
          <w:szCs w:val="22"/>
        </w:rPr>
        <w:t xml:space="preserve">and and gravel. Under criterion 2, South Gippsland was identified on the basis of exhausted </w:t>
      </w:r>
      <w:r w:rsidR="000A4F74">
        <w:rPr>
          <w:sz w:val="20"/>
          <w:szCs w:val="22"/>
        </w:rPr>
        <w:t>s</w:t>
      </w:r>
      <w:r w:rsidRPr="00E7107D">
        <w:rPr>
          <w:sz w:val="20"/>
          <w:szCs w:val="22"/>
        </w:rPr>
        <w:t>and and gravel resources, hence the letter S is listed under that criterion.</w:t>
      </w:r>
    </w:p>
    <w:p w:rsidR="004B68EF" w:rsidRDefault="00D155A9" w:rsidP="00546EA3">
      <w:pPr>
        <w:pStyle w:val="PwCNormal"/>
      </w:pPr>
      <w:r>
        <w:t xml:space="preserve">Resource locations identified in two or more SRD criteria were selected as potentially critical to the State’s future. </w:t>
      </w:r>
      <w:r w:rsidR="004B68EF">
        <w:t>These locations were then ranked based on an index of relative importance to Victoria’s future supply</w:t>
      </w:r>
      <w:r w:rsidR="007F5627">
        <w:t xml:space="preserve"> of extractives material</w:t>
      </w:r>
      <w:r w:rsidR="004B68EF">
        <w:t xml:space="preserve"> across the four resource categories considered, and the top </w:t>
      </w:r>
      <w:r>
        <w:t>15</w:t>
      </w:r>
      <w:r w:rsidR="004B68EF">
        <w:t xml:space="preserve"> locations were selected </w:t>
      </w:r>
      <w:r>
        <w:t>as critical</w:t>
      </w:r>
      <w:r w:rsidR="004B68EF">
        <w:t>.</w:t>
      </w:r>
      <w:r>
        <w:t xml:space="preserve"> </w:t>
      </w:r>
      <w:r w:rsidR="007F5627">
        <w:t>These are presented below</w:t>
      </w:r>
      <w:r w:rsidR="000B211A">
        <w:t xml:space="preserve"> in </w:t>
      </w:r>
      <w:r w:rsidR="000B211A">
        <w:fldChar w:fldCharType="begin"/>
      </w:r>
      <w:r w:rsidR="000B211A">
        <w:instrText xml:space="preserve"> REF _Ref448913671 \h </w:instrText>
      </w:r>
      <w:r w:rsidR="000B211A">
        <w:fldChar w:fldCharType="separate"/>
      </w:r>
      <w:r w:rsidR="00E22E13">
        <w:t xml:space="preserve">Table </w:t>
      </w:r>
      <w:r w:rsidR="00E22E13">
        <w:rPr>
          <w:noProof/>
        </w:rPr>
        <w:t>9</w:t>
      </w:r>
      <w:r w:rsidR="000B211A">
        <w:fldChar w:fldCharType="end"/>
      </w:r>
      <w:r w:rsidR="007F5627">
        <w:t>.</w:t>
      </w:r>
      <w:r>
        <w:t xml:space="preserve"> Those locations ranking 1</w:t>
      </w:r>
      <w:r w:rsidR="009C7D8B">
        <w:t>6</w:t>
      </w:r>
      <w:r w:rsidRPr="006916CE">
        <w:rPr>
          <w:vertAlign w:val="superscript"/>
        </w:rPr>
        <w:t>th</w:t>
      </w:r>
      <w:r>
        <w:t xml:space="preserve"> through 20</w:t>
      </w:r>
      <w:r w:rsidRPr="006916CE">
        <w:rPr>
          <w:vertAlign w:val="superscript"/>
        </w:rPr>
        <w:t>th</w:t>
      </w:r>
      <w:r>
        <w:t xml:space="preserve"> are also shown to provide context, though these are not considered as critical for the purposes of the analysis.</w:t>
      </w:r>
      <w:r w:rsidR="007F5627">
        <w:t xml:space="preserve"> </w:t>
      </w:r>
    </w:p>
    <w:p w:rsidR="007F5627" w:rsidRDefault="007F5627" w:rsidP="00D7732E">
      <w:pPr>
        <w:pStyle w:val="Caption"/>
        <w:sectPr w:rsidR="007F5627" w:rsidSect="00D311A7">
          <w:pgSz w:w="11907" w:h="16840" w:code="9"/>
          <w:pgMar w:top="1588" w:right="1843" w:bottom="1418" w:left="1843" w:header="567" w:footer="567" w:gutter="0"/>
          <w:cols w:space="227"/>
          <w:docGrid w:linePitch="360"/>
        </w:sectPr>
      </w:pPr>
      <w:bookmarkStart w:id="193" w:name="_Ref447715279"/>
    </w:p>
    <w:p w:rsidR="00D7732E" w:rsidRDefault="00A03F70" w:rsidP="006916CE">
      <w:pPr>
        <w:pStyle w:val="Caption"/>
      </w:pPr>
      <w:bookmarkStart w:id="194" w:name="_Ref448913671"/>
      <w:r>
        <w:t xml:space="preserve">Table </w:t>
      </w:r>
      <w:fldSimple w:instr=" SEQ Table \* ARABIC ">
        <w:r w:rsidR="00E22E13">
          <w:rPr>
            <w:noProof/>
          </w:rPr>
          <w:t>9</w:t>
        </w:r>
      </w:fldSimple>
      <w:bookmarkEnd w:id="193"/>
      <w:bookmarkEnd w:id="194"/>
      <w:r>
        <w:t>: Strategic Resource Determination - Consolidated view</w:t>
      </w:r>
    </w:p>
    <w:tbl>
      <w:tblPr>
        <w:tblStyle w:val="Tables-APBase"/>
        <w:tblW w:w="5050" w:type="pct"/>
        <w:tblLayout w:type="fixed"/>
        <w:tblLook w:val="04A0" w:firstRow="1" w:lastRow="0" w:firstColumn="1" w:lastColumn="0" w:noHBand="0" w:noVBand="1"/>
        <w:tblCaption w:val="Table 9 "/>
        <w:tblDescription w:val="&#10;Table 9 shows the top 20 ranked LGAs identified as potential strategic resource areas. They are, in descending order, South Gippsland, Greater Geelong, Mitchell, Knox, Cardinia, Yarra Ranges, Whittlesea, Baw Baw, Wellington, Latrobe, Moorabool, Glenelg, Moyne, Corangamite, East Gippsland, Mornington Peninsula, Golden Plains, Northern Grampians, Bass Coast and Wyndham. &#10;"/>
      </w:tblPr>
      <w:tblGrid>
        <w:gridCol w:w="676"/>
        <w:gridCol w:w="2268"/>
        <w:gridCol w:w="1701"/>
        <w:gridCol w:w="1701"/>
        <w:gridCol w:w="1701"/>
        <w:gridCol w:w="1701"/>
        <w:gridCol w:w="992"/>
        <w:gridCol w:w="3451"/>
      </w:tblGrid>
      <w:tr w:rsidR="00D7732E" w:rsidTr="006916CE">
        <w:trPr>
          <w:cnfStyle w:val="100000000000" w:firstRow="1" w:lastRow="0" w:firstColumn="0" w:lastColumn="0" w:oddVBand="0" w:evenVBand="0" w:oddHBand="0" w:evenHBand="0" w:firstRowFirstColumn="0" w:firstRowLastColumn="0" w:lastRowFirstColumn="0" w:lastRowLastColumn="0"/>
          <w:trHeight w:val="636"/>
        </w:trPr>
        <w:tc>
          <w:tcPr>
            <w:cnfStyle w:val="000000000100" w:firstRow="0" w:lastRow="0" w:firstColumn="0" w:lastColumn="0" w:oddVBand="0" w:evenVBand="0" w:oddHBand="0" w:evenHBand="0" w:firstRowFirstColumn="1" w:firstRowLastColumn="0" w:lastRowFirstColumn="0" w:lastRowLastColumn="0"/>
            <w:tcW w:w="676" w:type="dxa"/>
          </w:tcPr>
          <w:p w:rsidR="00D7732E" w:rsidRPr="001E1DC3" w:rsidRDefault="00D7732E" w:rsidP="006916CE">
            <w:pPr>
              <w:pStyle w:val="TableColumnHeadingSmall"/>
            </w:pPr>
            <w:r w:rsidRPr="00D7732E">
              <w:rPr>
                <w:bCs/>
                <w:color w:val="A32020"/>
              </w:rPr>
              <w:t>Rank</w:t>
            </w:r>
          </w:p>
        </w:tc>
        <w:tc>
          <w:tcPr>
            <w:tcW w:w="2268"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LGA</w:t>
            </w:r>
          </w:p>
        </w:tc>
        <w:tc>
          <w:tcPr>
            <w:tcW w:w="1701"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Criterion 1:</w:t>
            </w:r>
            <w:r w:rsidRPr="00D7732E">
              <w:rPr>
                <w:bCs/>
                <w:color w:val="A32020"/>
              </w:rPr>
              <w:br/>
              <w:t>Threatened resource types</w:t>
            </w:r>
          </w:p>
        </w:tc>
        <w:tc>
          <w:tcPr>
            <w:tcW w:w="1701"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Criterion 2:</w:t>
            </w:r>
            <w:r w:rsidRPr="00D7732E">
              <w:rPr>
                <w:bCs/>
                <w:color w:val="A32020"/>
              </w:rPr>
              <w:br/>
              <w:t>Resource depletion</w:t>
            </w:r>
          </w:p>
        </w:tc>
        <w:tc>
          <w:tcPr>
            <w:tcW w:w="1701"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Criterion 3:</w:t>
            </w:r>
            <w:r w:rsidRPr="00D7732E">
              <w:rPr>
                <w:bCs/>
                <w:color w:val="A32020"/>
              </w:rPr>
              <w:br/>
              <w:t>Significant production</w:t>
            </w:r>
          </w:p>
        </w:tc>
        <w:tc>
          <w:tcPr>
            <w:tcW w:w="1701"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Criterion 4:</w:t>
            </w:r>
            <w:r w:rsidRPr="00D7732E">
              <w:rPr>
                <w:bCs/>
                <w:color w:val="A32020"/>
              </w:rPr>
              <w:br/>
              <w:t>Supports Greater Melbourne</w:t>
            </w:r>
          </w:p>
        </w:tc>
        <w:tc>
          <w:tcPr>
            <w:tcW w:w="992"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Critical location?</w:t>
            </w:r>
          </w:p>
        </w:tc>
        <w:tc>
          <w:tcPr>
            <w:tcW w:w="3451" w:type="dxa"/>
          </w:tcPr>
          <w:p w:rsidR="00D7732E" w:rsidRPr="001E1DC3" w:rsidRDefault="00D7732E"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7732E">
              <w:rPr>
                <w:bCs/>
                <w:color w:val="A32020"/>
              </w:rPr>
              <w:t>Critical resource(s)</w:t>
            </w:r>
          </w:p>
        </w:tc>
      </w:tr>
      <w:tr w:rsidR="00D7732E" w:rsidTr="006916CE">
        <w:tc>
          <w:tcPr>
            <w:tcW w:w="676" w:type="dxa"/>
            <w:vAlign w:val="center"/>
          </w:tcPr>
          <w:p w:rsidR="00D7732E" w:rsidRDefault="00D7732E" w:rsidP="006916CE">
            <w:pPr>
              <w:pStyle w:val="TableTextSmall"/>
            </w:pPr>
            <w:r>
              <w:t>1</w:t>
            </w:r>
          </w:p>
        </w:tc>
        <w:tc>
          <w:tcPr>
            <w:tcW w:w="2268" w:type="dxa"/>
            <w:vAlign w:val="center"/>
          </w:tcPr>
          <w:p w:rsidR="00D7732E" w:rsidRDefault="00D7732E" w:rsidP="006916CE">
            <w:pPr>
              <w:pStyle w:val="TableTextSmall"/>
            </w:pPr>
            <w:r>
              <w:rPr>
                <w:color w:val="000000"/>
                <w:szCs w:val="16"/>
              </w:rPr>
              <w:t>South Gippsland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S</w:t>
            </w:r>
          </w:p>
        </w:tc>
        <w:tc>
          <w:tcPr>
            <w:tcW w:w="1701" w:type="dxa"/>
            <w:vAlign w:val="bottom"/>
          </w:tcPr>
          <w:p w:rsidR="00D7732E" w:rsidRDefault="00D7732E" w:rsidP="006916CE">
            <w:pPr>
              <w:pStyle w:val="TableTextSmall"/>
            </w:pPr>
            <w:r>
              <w:rPr>
                <w:color w:val="000000"/>
                <w:szCs w:val="16"/>
              </w:rPr>
              <w:t xml:space="preserve"> H S</w:t>
            </w:r>
          </w:p>
        </w:tc>
        <w:tc>
          <w:tcPr>
            <w:tcW w:w="1701" w:type="dxa"/>
            <w:vAlign w:val="bottom"/>
          </w:tcPr>
          <w:p w:rsidR="00D7732E" w:rsidRDefault="00D7732E" w:rsidP="006916CE">
            <w:pPr>
              <w:pStyle w:val="TableTextSmall"/>
            </w:pPr>
            <w:r>
              <w:rPr>
                <w:color w:val="000000"/>
                <w:szCs w:val="16"/>
              </w:rPr>
              <w:t xml:space="preserve"> H S</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w:t>
            </w:r>
          </w:p>
        </w:tc>
      </w:tr>
      <w:tr w:rsidR="00D7732E" w:rsidTr="006916CE">
        <w:tc>
          <w:tcPr>
            <w:tcW w:w="676" w:type="dxa"/>
            <w:vAlign w:val="center"/>
          </w:tcPr>
          <w:p w:rsidR="00D7732E" w:rsidRDefault="00D7732E" w:rsidP="006916CE">
            <w:pPr>
              <w:pStyle w:val="TableTextSmall"/>
            </w:pPr>
            <w:r>
              <w:t>2</w:t>
            </w:r>
          </w:p>
        </w:tc>
        <w:tc>
          <w:tcPr>
            <w:tcW w:w="2268" w:type="dxa"/>
            <w:vAlign w:val="center"/>
          </w:tcPr>
          <w:p w:rsidR="00D7732E" w:rsidRDefault="00D7732E" w:rsidP="006916CE">
            <w:pPr>
              <w:pStyle w:val="TableTextSmall"/>
            </w:pPr>
            <w:r>
              <w:rPr>
                <w:color w:val="000000"/>
                <w:szCs w:val="16"/>
              </w:rPr>
              <w:t>Greater Geelong (C)</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 S L</w:t>
            </w:r>
          </w:p>
        </w:tc>
        <w:tc>
          <w:tcPr>
            <w:tcW w:w="1701" w:type="dxa"/>
            <w:vAlign w:val="bottom"/>
          </w:tcPr>
          <w:p w:rsidR="00D7732E" w:rsidRDefault="00D7732E" w:rsidP="006916CE">
            <w:pPr>
              <w:pStyle w:val="TableTextSmall"/>
            </w:pPr>
            <w:r>
              <w:rPr>
                <w:color w:val="000000"/>
                <w:szCs w:val="16"/>
              </w:rPr>
              <w:t xml:space="preserve"> H S L</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 limestone</w:t>
            </w:r>
          </w:p>
        </w:tc>
      </w:tr>
      <w:tr w:rsidR="00D7732E" w:rsidTr="006916CE">
        <w:tc>
          <w:tcPr>
            <w:tcW w:w="676" w:type="dxa"/>
            <w:vAlign w:val="center"/>
          </w:tcPr>
          <w:p w:rsidR="00D7732E" w:rsidRDefault="00D7732E" w:rsidP="006916CE">
            <w:pPr>
              <w:pStyle w:val="TableTextSmall"/>
            </w:pPr>
            <w:r>
              <w:t>3</w:t>
            </w:r>
          </w:p>
        </w:tc>
        <w:tc>
          <w:tcPr>
            <w:tcW w:w="2268" w:type="dxa"/>
            <w:vAlign w:val="center"/>
          </w:tcPr>
          <w:p w:rsidR="00D7732E" w:rsidRDefault="00D7732E" w:rsidP="006916CE">
            <w:pPr>
              <w:pStyle w:val="TableTextSmall"/>
            </w:pPr>
            <w:r>
              <w:rPr>
                <w:color w:val="000000"/>
                <w:szCs w:val="16"/>
              </w:rPr>
              <w:t>Mitchell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L C</w:t>
            </w:r>
          </w:p>
        </w:tc>
        <w:tc>
          <w:tcPr>
            <w:tcW w:w="1701" w:type="dxa"/>
            <w:vAlign w:val="bottom"/>
          </w:tcPr>
          <w:p w:rsidR="00D7732E" w:rsidRDefault="00D7732E" w:rsidP="006916CE">
            <w:pPr>
              <w:pStyle w:val="TableTextSmall"/>
            </w:pPr>
            <w:r>
              <w:rPr>
                <w:color w:val="000000"/>
                <w:szCs w:val="16"/>
              </w:rPr>
              <w:t xml:space="preserve"> H S C</w:t>
            </w:r>
          </w:p>
        </w:tc>
        <w:tc>
          <w:tcPr>
            <w:tcW w:w="1701" w:type="dxa"/>
            <w:vAlign w:val="bottom"/>
          </w:tcPr>
          <w:p w:rsidR="00D7732E" w:rsidRDefault="00D7732E" w:rsidP="006916CE">
            <w:pPr>
              <w:pStyle w:val="TableTextSmall"/>
            </w:pPr>
            <w:r>
              <w:rPr>
                <w:color w:val="000000"/>
                <w:szCs w:val="16"/>
              </w:rPr>
              <w:t xml:space="preserve"> H S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 clay</w:t>
            </w:r>
          </w:p>
        </w:tc>
      </w:tr>
      <w:tr w:rsidR="00D7732E" w:rsidTr="006916CE">
        <w:tc>
          <w:tcPr>
            <w:tcW w:w="676" w:type="dxa"/>
            <w:vAlign w:val="center"/>
          </w:tcPr>
          <w:p w:rsidR="00D7732E" w:rsidRDefault="00D7732E" w:rsidP="006916CE">
            <w:pPr>
              <w:pStyle w:val="TableTextSmall"/>
            </w:pPr>
            <w:r>
              <w:t>4</w:t>
            </w:r>
          </w:p>
        </w:tc>
        <w:tc>
          <w:tcPr>
            <w:tcW w:w="2268" w:type="dxa"/>
            <w:vAlign w:val="center"/>
          </w:tcPr>
          <w:p w:rsidR="00D7732E" w:rsidRDefault="00D7732E" w:rsidP="006916CE">
            <w:pPr>
              <w:pStyle w:val="TableTextSmall"/>
            </w:pPr>
            <w:r>
              <w:rPr>
                <w:color w:val="000000"/>
                <w:szCs w:val="16"/>
              </w:rPr>
              <w:t>Knox (C)</w:t>
            </w:r>
          </w:p>
        </w:tc>
        <w:tc>
          <w:tcPr>
            <w:tcW w:w="1701" w:type="dxa"/>
            <w:vAlign w:val="bottom"/>
          </w:tcPr>
          <w:p w:rsidR="00D7732E" w:rsidRDefault="00D7732E" w:rsidP="006916CE">
            <w:pPr>
              <w:pStyle w:val="TableTextSmall"/>
            </w:pPr>
            <w:r>
              <w:rPr>
                <w:color w:val="000000"/>
                <w:szCs w:val="16"/>
              </w:rPr>
              <w:t>Ho C</w:t>
            </w:r>
          </w:p>
        </w:tc>
        <w:tc>
          <w:tcPr>
            <w:tcW w:w="1701" w:type="dxa"/>
            <w:vAlign w:val="bottom"/>
          </w:tcPr>
          <w:p w:rsidR="00D7732E" w:rsidRDefault="00D7732E" w:rsidP="006916CE">
            <w:pPr>
              <w:pStyle w:val="TableTextSmall"/>
            </w:pPr>
            <w:r>
              <w:rPr>
                <w:color w:val="000000"/>
                <w:szCs w:val="16"/>
              </w:rPr>
              <w:t xml:space="preserve"> H L C</w:t>
            </w:r>
          </w:p>
        </w:tc>
        <w:tc>
          <w:tcPr>
            <w:tcW w:w="1701" w:type="dxa"/>
            <w:vAlign w:val="bottom"/>
          </w:tcPr>
          <w:p w:rsidR="00D7732E" w:rsidRDefault="00D7732E" w:rsidP="006916CE">
            <w:pPr>
              <w:pStyle w:val="TableTextSmall"/>
            </w:pPr>
            <w:r>
              <w:rPr>
                <w:color w:val="000000"/>
                <w:szCs w:val="16"/>
              </w:rPr>
              <w:t xml:space="preserve"> H C</w:t>
            </w:r>
          </w:p>
        </w:tc>
        <w:tc>
          <w:tcPr>
            <w:tcW w:w="1701" w:type="dxa"/>
            <w:vAlign w:val="bottom"/>
          </w:tcPr>
          <w:p w:rsidR="00D7732E" w:rsidRDefault="00D7732E" w:rsidP="006916CE">
            <w:pPr>
              <w:pStyle w:val="TableTextSmall"/>
            </w:pPr>
            <w:r>
              <w:rPr>
                <w:color w:val="000000"/>
                <w:szCs w:val="16"/>
              </w:rPr>
              <w:t xml:space="preserve"> H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clay</w:t>
            </w:r>
          </w:p>
        </w:tc>
      </w:tr>
      <w:tr w:rsidR="00D7732E" w:rsidTr="006916CE">
        <w:tc>
          <w:tcPr>
            <w:tcW w:w="676" w:type="dxa"/>
            <w:vAlign w:val="center"/>
          </w:tcPr>
          <w:p w:rsidR="00D7732E" w:rsidRDefault="00D7732E" w:rsidP="006916CE">
            <w:pPr>
              <w:pStyle w:val="TableTextSmall"/>
            </w:pPr>
            <w:r>
              <w:t>5</w:t>
            </w:r>
          </w:p>
        </w:tc>
        <w:tc>
          <w:tcPr>
            <w:tcW w:w="2268" w:type="dxa"/>
            <w:vAlign w:val="center"/>
          </w:tcPr>
          <w:p w:rsidR="00D7732E" w:rsidRDefault="00D7732E" w:rsidP="006916CE">
            <w:pPr>
              <w:pStyle w:val="TableTextSmall"/>
            </w:pPr>
            <w:r>
              <w:rPr>
                <w:color w:val="000000"/>
                <w:szCs w:val="16"/>
              </w:rPr>
              <w:t>Cardinia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w:t>
            </w:r>
          </w:p>
        </w:tc>
        <w:tc>
          <w:tcPr>
            <w:tcW w:w="1701" w:type="dxa"/>
            <w:vAlign w:val="bottom"/>
          </w:tcPr>
          <w:p w:rsidR="00D7732E" w:rsidRDefault="00D7732E" w:rsidP="006916CE">
            <w:pPr>
              <w:pStyle w:val="TableTextSmall"/>
            </w:pPr>
            <w:r>
              <w:rPr>
                <w:color w:val="000000"/>
                <w:szCs w:val="16"/>
              </w:rPr>
              <w:t xml:space="preserve"> H S</w:t>
            </w:r>
          </w:p>
        </w:tc>
        <w:tc>
          <w:tcPr>
            <w:tcW w:w="1701" w:type="dxa"/>
            <w:vAlign w:val="bottom"/>
          </w:tcPr>
          <w:p w:rsidR="00D7732E" w:rsidRDefault="00D7732E" w:rsidP="006916CE">
            <w:pPr>
              <w:pStyle w:val="TableTextSmall"/>
            </w:pPr>
            <w:r>
              <w:rPr>
                <w:color w:val="000000"/>
                <w:szCs w:val="16"/>
              </w:rPr>
              <w:t xml:space="preserve"> H S</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w:t>
            </w:r>
          </w:p>
        </w:tc>
      </w:tr>
      <w:tr w:rsidR="00D7732E" w:rsidTr="006916CE">
        <w:tc>
          <w:tcPr>
            <w:tcW w:w="676" w:type="dxa"/>
            <w:vAlign w:val="center"/>
          </w:tcPr>
          <w:p w:rsidR="00D7732E" w:rsidRDefault="00D7732E" w:rsidP="006916CE">
            <w:pPr>
              <w:pStyle w:val="TableTextSmall"/>
            </w:pPr>
            <w:r>
              <w:t>6</w:t>
            </w:r>
          </w:p>
        </w:tc>
        <w:tc>
          <w:tcPr>
            <w:tcW w:w="2268" w:type="dxa"/>
            <w:vAlign w:val="center"/>
          </w:tcPr>
          <w:p w:rsidR="00D7732E" w:rsidRDefault="00D7732E" w:rsidP="006916CE">
            <w:pPr>
              <w:pStyle w:val="TableTextSmall"/>
            </w:pPr>
            <w:r>
              <w:rPr>
                <w:color w:val="000000"/>
                <w:szCs w:val="16"/>
              </w:rPr>
              <w:t>Yarra Ranges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H L C</w:t>
            </w:r>
          </w:p>
        </w:tc>
        <w:tc>
          <w:tcPr>
            <w:tcW w:w="1701" w:type="dxa"/>
            <w:vAlign w:val="bottom"/>
          </w:tcPr>
          <w:p w:rsidR="00D7732E" w:rsidRDefault="00D7732E" w:rsidP="006916CE">
            <w:pPr>
              <w:pStyle w:val="TableTextSmall"/>
            </w:pPr>
            <w:r>
              <w:rPr>
                <w:color w:val="000000"/>
                <w:szCs w:val="16"/>
              </w:rPr>
              <w:t xml:space="preserve"> H L C</w:t>
            </w:r>
          </w:p>
        </w:tc>
        <w:tc>
          <w:tcPr>
            <w:tcW w:w="1701" w:type="dxa"/>
            <w:vAlign w:val="bottom"/>
          </w:tcPr>
          <w:p w:rsidR="00D7732E" w:rsidRDefault="00D7732E" w:rsidP="006916CE">
            <w:pPr>
              <w:pStyle w:val="TableTextSmall"/>
            </w:pPr>
            <w:r>
              <w:rPr>
                <w:color w:val="000000"/>
                <w:szCs w:val="16"/>
              </w:rPr>
              <w:t xml:space="preserve"> H L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 clay</w:t>
            </w:r>
          </w:p>
        </w:tc>
      </w:tr>
      <w:tr w:rsidR="00D7732E" w:rsidTr="006916CE">
        <w:tc>
          <w:tcPr>
            <w:tcW w:w="676" w:type="dxa"/>
            <w:vAlign w:val="center"/>
          </w:tcPr>
          <w:p w:rsidR="00D7732E" w:rsidRDefault="00D7732E" w:rsidP="006916CE">
            <w:pPr>
              <w:pStyle w:val="TableTextSmall"/>
            </w:pPr>
            <w:r>
              <w:t>7</w:t>
            </w:r>
          </w:p>
        </w:tc>
        <w:tc>
          <w:tcPr>
            <w:tcW w:w="2268" w:type="dxa"/>
            <w:vAlign w:val="center"/>
          </w:tcPr>
          <w:p w:rsidR="00D7732E" w:rsidRDefault="00D7732E" w:rsidP="006916CE">
            <w:pPr>
              <w:pStyle w:val="TableTextSmall"/>
            </w:pPr>
            <w:r>
              <w:rPr>
                <w:color w:val="000000"/>
                <w:szCs w:val="16"/>
              </w:rPr>
              <w:t>Whittlesea (C)</w:t>
            </w:r>
          </w:p>
        </w:tc>
        <w:tc>
          <w:tcPr>
            <w:tcW w:w="1701" w:type="dxa"/>
            <w:vAlign w:val="bottom"/>
          </w:tcPr>
          <w:p w:rsidR="00D7732E" w:rsidRDefault="00D7732E" w:rsidP="006916CE">
            <w:pPr>
              <w:pStyle w:val="TableTextSmall"/>
            </w:pPr>
            <w:r>
              <w:rPr>
                <w:color w:val="000000"/>
                <w:szCs w:val="16"/>
              </w:rPr>
              <w:t>Ho C</w:t>
            </w:r>
          </w:p>
        </w:tc>
        <w:tc>
          <w:tcPr>
            <w:tcW w:w="1701" w:type="dxa"/>
            <w:vAlign w:val="bottom"/>
          </w:tcPr>
          <w:p w:rsidR="00D7732E" w:rsidRDefault="00D7732E" w:rsidP="006916CE">
            <w:pPr>
              <w:pStyle w:val="TableTextSmall"/>
            </w:pPr>
            <w:r>
              <w:rPr>
                <w:color w:val="000000"/>
                <w:szCs w:val="16"/>
              </w:rPr>
              <w:t xml:space="preserve"> H L C</w:t>
            </w:r>
          </w:p>
        </w:tc>
        <w:tc>
          <w:tcPr>
            <w:tcW w:w="1701" w:type="dxa"/>
            <w:vAlign w:val="bottom"/>
          </w:tcPr>
          <w:p w:rsidR="00D7732E" w:rsidRDefault="00D7732E" w:rsidP="006916CE">
            <w:pPr>
              <w:pStyle w:val="TableTextSmall"/>
            </w:pPr>
            <w:r>
              <w:rPr>
                <w:color w:val="000000"/>
                <w:szCs w:val="16"/>
              </w:rPr>
              <w:t xml:space="preserve"> H C</w:t>
            </w:r>
          </w:p>
        </w:tc>
        <w:tc>
          <w:tcPr>
            <w:tcW w:w="1701" w:type="dxa"/>
            <w:vAlign w:val="bottom"/>
          </w:tcPr>
          <w:p w:rsidR="00D7732E" w:rsidRDefault="00D7732E" w:rsidP="006916CE">
            <w:pPr>
              <w:pStyle w:val="TableTextSmall"/>
            </w:pPr>
            <w:r>
              <w:rPr>
                <w:color w:val="000000"/>
                <w:szCs w:val="16"/>
              </w:rPr>
              <w:t xml:space="preserve"> H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clay</w:t>
            </w:r>
          </w:p>
        </w:tc>
      </w:tr>
      <w:tr w:rsidR="00D7732E" w:rsidTr="006916CE">
        <w:tc>
          <w:tcPr>
            <w:tcW w:w="676" w:type="dxa"/>
            <w:vAlign w:val="center"/>
          </w:tcPr>
          <w:p w:rsidR="00D7732E" w:rsidRDefault="00D7732E" w:rsidP="006916CE">
            <w:pPr>
              <w:pStyle w:val="TableTextSmall"/>
            </w:pPr>
            <w:r>
              <w:t>8</w:t>
            </w:r>
          </w:p>
        </w:tc>
        <w:tc>
          <w:tcPr>
            <w:tcW w:w="2268" w:type="dxa"/>
            <w:vAlign w:val="center"/>
          </w:tcPr>
          <w:p w:rsidR="00D7732E" w:rsidRDefault="00D7732E" w:rsidP="006916CE">
            <w:pPr>
              <w:pStyle w:val="TableTextSmall"/>
            </w:pPr>
            <w:r>
              <w:rPr>
                <w:color w:val="000000"/>
                <w:szCs w:val="16"/>
              </w:rPr>
              <w:t>Baw Baw (S)</w:t>
            </w:r>
          </w:p>
        </w:tc>
        <w:tc>
          <w:tcPr>
            <w:tcW w:w="1701" w:type="dxa"/>
            <w:vAlign w:val="bottom"/>
          </w:tcPr>
          <w:p w:rsidR="00D7732E" w:rsidRDefault="00D7732E" w:rsidP="006916CE">
            <w:pPr>
              <w:pStyle w:val="TableTextSmall"/>
            </w:pPr>
            <w:r>
              <w:rPr>
                <w:color w:val="000000"/>
                <w:szCs w:val="16"/>
              </w:rPr>
              <w:t>Ho</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 S</w:t>
            </w:r>
          </w:p>
        </w:tc>
        <w:tc>
          <w:tcPr>
            <w:tcW w:w="1701" w:type="dxa"/>
            <w:vAlign w:val="bottom"/>
          </w:tcPr>
          <w:p w:rsidR="00D7732E" w:rsidRDefault="00D7732E" w:rsidP="006916CE">
            <w:pPr>
              <w:pStyle w:val="TableTextSmall"/>
            </w:pPr>
            <w:r>
              <w:rPr>
                <w:color w:val="000000"/>
                <w:szCs w:val="16"/>
              </w:rPr>
              <w:t xml:space="preserve"> H S</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Hard rock, sand and gravel</w:t>
            </w:r>
          </w:p>
        </w:tc>
      </w:tr>
      <w:tr w:rsidR="00D7732E" w:rsidTr="006916CE">
        <w:tc>
          <w:tcPr>
            <w:tcW w:w="676" w:type="dxa"/>
            <w:vAlign w:val="center"/>
          </w:tcPr>
          <w:p w:rsidR="00D7732E" w:rsidRDefault="00D7732E" w:rsidP="006916CE">
            <w:pPr>
              <w:pStyle w:val="TableTextSmall"/>
            </w:pPr>
            <w:r>
              <w:t>9</w:t>
            </w:r>
          </w:p>
        </w:tc>
        <w:tc>
          <w:tcPr>
            <w:tcW w:w="2268" w:type="dxa"/>
            <w:vAlign w:val="center"/>
          </w:tcPr>
          <w:p w:rsidR="00D7732E" w:rsidRDefault="00D7732E" w:rsidP="006916CE">
            <w:pPr>
              <w:pStyle w:val="TableTextSmall"/>
            </w:pPr>
            <w:r>
              <w:rPr>
                <w:color w:val="000000"/>
                <w:szCs w:val="16"/>
              </w:rPr>
              <w:t>Wellington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L C</w:t>
            </w:r>
          </w:p>
        </w:tc>
        <w:tc>
          <w:tcPr>
            <w:tcW w:w="1701" w:type="dxa"/>
            <w:vAlign w:val="bottom"/>
          </w:tcPr>
          <w:p w:rsidR="00D7732E" w:rsidRDefault="00D7732E" w:rsidP="006916CE">
            <w:pPr>
              <w:pStyle w:val="TableTextSmall"/>
            </w:pPr>
            <w:r>
              <w:rPr>
                <w:color w:val="000000"/>
                <w:szCs w:val="16"/>
              </w:rPr>
              <w:t xml:space="preserve"> S L C</w:t>
            </w:r>
          </w:p>
        </w:tc>
        <w:tc>
          <w:tcPr>
            <w:tcW w:w="1701" w:type="dxa"/>
            <w:vAlign w:val="bottom"/>
          </w:tcPr>
          <w:p w:rsidR="00D7732E" w:rsidRDefault="00D7732E" w:rsidP="006916CE">
            <w:pPr>
              <w:pStyle w:val="TableTextSmall"/>
            </w:pPr>
            <w:r>
              <w:rPr>
                <w:color w:val="000000"/>
                <w:szCs w:val="16"/>
              </w:rPr>
              <w:t xml:space="preserve"> S L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Sand and gravel, limestone, clay</w:t>
            </w:r>
          </w:p>
        </w:tc>
      </w:tr>
      <w:tr w:rsidR="00D7732E" w:rsidTr="006916CE">
        <w:tc>
          <w:tcPr>
            <w:tcW w:w="676" w:type="dxa"/>
            <w:vAlign w:val="center"/>
          </w:tcPr>
          <w:p w:rsidR="00D7732E" w:rsidRDefault="00D7732E" w:rsidP="006916CE">
            <w:pPr>
              <w:pStyle w:val="TableTextSmall"/>
            </w:pPr>
            <w:r>
              <w:t>10</w:t>
            </w:r>
          </w:p>
        </w:tc>
        <w:tc>
          <w:tcPr>
            <w:tcW w:w="2268" w:type="dxa"/>
            <w:vAlign w:val="center"/>
          </w:tcPr>
          <w:p w:rsidR="00D7732E" w:rsidRDefault="00D7732E" w:rsidP="006916CE">
            <w:pPr>
              <w:pStyle w:val="TableTextSmall"/>
            </w:pPr>
            <w:r>
              <w:rPr>
                <w:color w:val="000000"/>
                <w:szCs w:val="16"/>
              </w:rPr>
              <w:t>Latrobe (C)</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H L C</w:t>
            </w:r>
          </w:p>
        </w:tc>
        <w:tc>
          <w:tcPr>
            <w:tcW w:w="1701" w:type="dxa"/>
            <w:vAlign w:val="bottom"/>
          </w:tcPr>
          <w:p w:rsidR="00D7732E" w:rsidRDefault="00D7732E" w:rsidP="006916CE">
            <w:pPr>
              <w:pStyle w:val="TableTextSmall"/>
            </w:pPr>
            <w:r>
              <w:rPr>
                <w:color w:val="000000"/>
                <w:szCs w:val="16"/>
              </w:rPr>
              <w:t xml:space="preserve"> C</w:t>
            </w:r>
          </w:p>
        </w:tc>
        <w:tc>
          <w:tcPr>
            <w:tcW w:w="1701" w:type="dxa"/>
            <w:vAlign w:val="bottom"/>
          </w:tcPr>
          <w:p w:rsidR="00D7732E" w:rsidRDefault="00D7732E" w:rsidP="006916CE">
            <w:pPr>
              <w:pStyle w:val="TableTextSmall"/>
            </w:pPr>
            <w:r>
              <w:rPr>
                <w:color w:val="000000"/>
                <w:szCs w:val="16"/>
              </w:rPr>
              <w:t xml:space="preserve">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Clay</w:t>
            </w:r>
          </w:p>
        </w:tc>
      </w:tr>
      <w:tr w:rsidR="00D7732E" w:rsidTr="006916CE">
        <w:tc>
          <w:tcPr>
            <w:tcW w:w="676" w:type="dxa"/>
            <w:vAlign w:val="center"/>
          </w:tcPr>
          <w:p w:rsidR="00D7732E" w:rsidRDefault="00D7732E" w:rsidP="006916CE">
            <w:pPr>
              <w:pStyle w:val="TableTextSmall"/>
            </w:pPr>
            <w:r>
              <w:t>11</w:t>
            </w:r>
          </w:p>
        </w:tc>
        <w:tc>
          <w:tcPr>
            <w:tcW w:w="2268" w:type="dxa"/>
            <w:vAlign w:val="center"/>
          </w:tcPr>
          <w:p w:rsidR="00D7732E" w:rsidRDefault="00D7732E" w:rsidP="006916CE">
            <w:pPr>
              <w:pStyle w:val="TableTextSmall"/>
            </w:pPr>
            <w:r>
              <w:rPr>
                <w:color w:val="000000"/>
                <w:szCs w:val="16"/>
              </w:rPr>
              <w:t>Moorabool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S L C</w:t>
            </w:r>
          </w:p>
        </w:tc>
        <w:tc>
          <w:tcPr>
            <w:tcW w:w="1701" w:type="dxa"/>
            <w:vAlign w:val="bottom"/>
          </w:tcPr>
          <w:p w:rsidR="00D7732E" w:rsidRDefault="00D7732E" w:rsidP="006916CE">
            <w:pPr>
              <w:pStyle w:val="TableTextSmall"/>
            </w:pPr>
            <w:r>
              <w:rPr>
                <w:color w:val="000000"/>
                <w:szCs w:val="16"/>
              </w:rPr>
              <w:t xml:space="preserve"> S C</w:t>
            </w:r>
          </w:p>
        </w:tc>
        <w:tc>
          <w:tcPr>
            <w:tcW w:w="1701" w:type="dxa"/>
            <w:vAlign w:val="bottom"/>
          </w:tcPr>
          <w:p w:rsidR="00D7732E" w:rsidRDefault="00D7732E" w:rsidP="006916CE">
            <w:pPr>
              <w:pStyle w:val="TableTextSmall"/>
            </w:pPr>
            <w:r>
              <w:rPr>
                <w:color w:val="000000"/>
                <w:szCs w:val="16"/>
              </w:rPr>
              <w:t xml:space="preserve"> H S C</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Sand and gravel, clay</w:t>
            </w:r>
          </w:p>
        </w:tc>
      </w:tr>
      <w:tr w:rsidR="00D7732E" w:rsidTr="006916CE">
        <w:tc>
          <w:tcPr>
            <w:tcW w:w="676" w:type="dxa"/>
            <w:vAlign w:val="center"/>
          </w:tcPr>
          <w:p w:rsidR="00D7732E" w:rsidRDefault="00D7732E" w:rsidP="006916CE">
            <w:pPr>
              <w:pStyle w:val="TableTextSmall"/>
            </w:pPr>
            <w:r>
              <w:t>12</w:t>
            </w:r>
          </w:p>
        </w:tc>
        <w:tc>
          <w:tcPr>
            <w:tcW w:w="2268" w:type="dxa"/>
            <w:vAlign w:val="center"/>
          </w:tcPr>
          <w:p w:rsidR="00D7732E" w:rsidRDefault="00D7732E" w:rsidP="006916CE">
            <w:pPr>
              <w:pStyle w:val="TableTextSmall"/>
            </w:pPr>
            <w:r>
              <w:rPr>
                <w:color w:val="000000"/>
                <w:szCs w:val="16"/>
              </w:rPr>
              <w:t>Glenelg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L</w:t>
            </w:r>
          </w:p>
        </w:tc>
        <w:tc>
          <w:tcPr>
            <w:tcW w:w="1701" w:type="dxa"/>
            <w:vAlign w:val="bottom"/>
          </w:tcPr>
          <w:p w:rsidR="00D7732E" w:rsidRDefault="00D7732E" w:rsidP="006916CE">
            <w:pPr>
              <w:pStyle w:val="TableTextSmall"/>
            </w:pPr>
            <w:r>
              <w:rPr>
                <w:color w:val="000000"/>
                <w:szCs w:val="16"/>
              </w:rPr>
              <w:t xml:space="preserve"> L</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Limestone</w:t>
            </w:r>
          </w:p>
        </w:tc>
      </w:tr>
      <w:tr w:rsidR="00D7732E" w:rsidTr="006916CE">
        <w:tc>
          <w:tcPr>
            <w:tcW w:w="676" w:type="dxa"/>
            <w:vAlign w:val="center"/>
          </w:tcPr>
          <w:p w:rsidR="00D7732E" w:rsidRDefault="00D7732E" w:rsidP="006916CE">
            <w:pPr>
              <w:pStyle w:val="TableTextSmall"/>
            </w:pPr>
            <w:r>
              <w:t>13</w:t>
            </w:r>
          </w:p>
        </w:tc>
        <w:tc>
          <w:tcPr>
            <w:tcW w:w="2268" w:type="dxa"/>
            <w:vAlign w:val="center"/>
          </w:tcPr>
          <w:p w:rsidR="00D7732E" w:rsidRDefault="00D7732E" w:rsidP="006916CE">
            <w:pPr>
              <w:pStyle w:val="TableTextSmall"/>
            </w:pPr>
            <w:r>
              <w:rPr>
                <w:color w:val="000000"/>
                <w:szCs w:val="16"/>
              </w:rPr>
              <w:t>Moyne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 L</w:t>
            </w:r>
          </w:p>
        </w:tc>
        <w:tc>
          <w:tcPr>
            <w:tcW w:w="1701" w:type="dxa"/>
            <w:vAlign w:val="bottom"/>
          </w:tcPr>
          <w:p w:rsidR="00D7732E" w:rsidRDefault="00D7732E" w:rsidP="006916CE">
            <w:pPr>
              <w:pStyle w:val="TableTextSmall"/>
            </w:pPr>
            <w:r>
              <w:rPr>
                <w:color w:val="000000"/>
                <w:szCs w:val="16"/>
              </w:rPr>
              <w:t xml:space="preserve"> L</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Limestone</w:t>
            </w:r>
          </w:p>
        </w:tc>
      </w:tr>
      <w:tr w:rsidR="00D7732E" w:rsidTr="006916CE">
        <w:tc>
          <w:tcPr>
            <w:tcW w:w="676" w:type="dxa"/>
            <w:vAlign w:val="center"/>
          </w:tcPr>
          <w:p w:rsidR="00D7732E" w:rsidRDefault="00D7732E" w:rsidP="006916CE">
            <w:pPr>
              <w:pStyle w:val="TableTextSmall"/>
            </w:pPr>
            <w:r>
              <w:t>14</w:t>
            </w:r>
          </w:p>
        </w:tc>
        <w:tc>
          <w:tcPr>
            <w:tcW w:w="2268" w:type="dxa"/>
            <w:vAlign w:val="center"/>
          </w:tcPr>
          <w:p w:rsidR="00D7732E" w:rsidRDefault="00D7732E" w:rsidP="006916CE">
            <w:pPr>
              <w:pStyle w:val="TableTextSmall"/>
            </w:pPr>
            <w:r>
              <w:rPr>
                <w:color w:val="000000"/>
                <w:szCs w:val="16"/>
              </w:rPr>
              <w:t>Corangamite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L</w:t>
            </w:r>
          </w:p>
        </w:tc>
        <w:tc>
          <w:tcPr>
            <w:tcW w:w="1701" w:type="dxa"/>
            <w:vAlign w:val="bottom"/>
          </w:tcPr>
          <w:p w:rsidR="00D7732E" w:rsidRDefault="00D7732E" w:rsidP="006916CE">
            <w:pPr>
              <w:pStyle w:val="TableTextSmall"/>
            </w:pPr>
            <w:r>
              <w:rPr>
                <w:color w:val="000000"/>
                <w:szCs w:val="16"/>
              </w:rPr>
              <w:t xml:space="preserve"> L</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Limestone</w:t>
            </w:r>
          </w:p>
        </w:tc>
      </w:tr>
      <w:tr w:rsidR="00D7732E" w:rsidTr="006916CE">
        <w:tc>
          <w:tcPr>
            <w:tcW w:w="676" w:type="dxa"/>
            <w:vAlign w:val="center"/>
          </w:tcPr>
          <w:p w:rsidR="00D7732E" w:rsidRDefault="00D7732E" w:rsidP="006916CE">
            <w:pPr>
              <w:pStyle w:val="TableTextSmall"/>
            </w:pPr>
            <w:r>
              <w:t>15</w:t>
            </w:r>
          </w:p>
        </w:tc>
        <w:tc>
          <w:tcPr>
            <w:tcW w:w="2268" w:type="dxa"/>
            <w:vAlign w:val="center"/>
          </w:tcPr>
          <w:p w:rsidR="00D7732E" w:rsidRDefault="00D7732E" w:rsidP="006916CE">
            <w:pPr>
              <w:pStyle w:val="TableTextSmall"/>
            </w:pPr>
            <w:r>
              <w:rPr>
                <w:color w:val="000000"/>
                <w:szCs w:val="16"/>
              </w:rPr>
              <w:t>East Gippsland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S</w:t>
            </w:r>
          </w:p>
        </w:tc>
        <w:tc>
          <w:tcPr>
            <w:tcW w:w="1701" w:type="dxa"/>
            <w:vAlign w:val="bottom"/>
          </w:tcPr>
          <w:p w:rsidR="00D7732E" w:rsidRDefault="00D7732E" w:rsidP="006916CE">
            <w:pPr>
              <w:pStyle w:val="TableTextSmall"/>
            </w:pPr>
            <w:r>
              <w:rPr>
                <w:color w:val="000000"/>
                <w:szCs w:val="16"/>
              </w:rPr>
              <w:t xml:space="preserve"> L</w:t>
            </w:r>
          </w:p>
        </w:tc>
        <w:tc>
          <w:tcPr>
            <w:tcW w:w="1701" w:type="dxa"/>
            <w:vAlign w:val="bottom"/>
          </w:tcPr>
          <w:p w:rsidR="00D7732E" w:rsidRDefault="00D7732E" w:rsidP="006916CE">
            <w:pPr>
              <w:pStyle w:val="TableTextSmall"/>
            </w:pPr>
            <w:r>
              <w:rPr>
                <w:color w:val="000000"/>
                <w:szCs w:val="16"/>
              </w:rPr>
              <w:t xml:space="preserve"> L</w:t>
            </w:r>
          </w:p>
        </w:tc>
        <w:tc>
          <w:tcPr>
            <w:tcW w:w="992" w:type="dxa"/>
            <w:vAlign w:val="bottom"/>
          </w:tcPr>
          <w:p w:rsidR="00D7732E" w:rsidRDefault="00D7732E" w:rsidP="006916CE">
            <w:pPr>
              <w:pStyle w:val="TableTextSmall"/>
            </w:pPr>
            <w:r>
              <w:rPr>
                <w:color w:val="000000"/>
                <w:szCs w:val="16"/>
              </w:rPr>
              <w:t>Yes</w:t>
            </w:r>
          </w:p>
        </w:tc>
        <w:tc>
          <w:tcPr>
            <w:tcW w:w="3451" w:type="dxa"/>
            <w:vAlign w:val="bottom"/>
          </w:tcPr>
          <w:p w:rsidR="00D7732E" w:rsidRDefault="00D7732E" w:rsidP="006916CE">
            <w:pPr>
              <w:pStyle w:val="TableTextSmall"/>
            </w:pPr>
            <w:r>
              <w:rPr>
                <w:color w:val="000000"/>
                <w:szCs w:val="16"/>
              </w:rPr>
              <w:t>Limestone</w:t>
            </w:r>
          </w:p>
        </w:tc>
      </w:tr>
      <w:tr w:rsidR="00D7732E" w:rsidTr="006916CE">
        <w:tc>
          <w:tcPr>
            <w:tcW w:w="676" w:type="dxa"/>
            <w:vAlign w:val="center"/>
          </w:tcPr>
          <w:p w:rsidR="00D7732E" w:rsidRDefault="00D7732E" w:rsidP="006916CE">
            <w:pPr>
              <w:pStyle w:val="TableTextSmall"/>
            </w:pPr>
            <w:r>
              <w:t>16</w:t>
            </w:r>
          </w:p>
        </w:tc>
        <w:tc>
          <w:tcPr>
            <w:tcW w:w="2268" w:type="dxa"/>
            <w:vAlign w:val="center"/>
          </w:tcPr>
          <w:p w:rsidR="00D7732E" w:rsidRDefault="00D7732E" w:rsidP="006916CE">
            <w:pPr>
              <w:pStyle w:val="TableTextSmall"/>
            </w:pPr>
            <w:r>
              <w:rPr>
                <w:color w:val="000000"/>
                <w:szCs w:val="16"/>
              </w:rPr>
              <w:t>Mornington Peninsula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H S L C</w:t>
            </w:r>
          </w:p>
        </w:tc>
        <w:tc>
          <w:tcPr>
            <w:tcW w:w="1701" w:type="dxa"/>
            <w:vAlign w:val="bottom"/>
          </w:tcPr>
          <w:p w:rsidR="00D7732E" w:rsidRDefault="00D7732E" w:rsidP="006916CE">
            <w:pPr>
              <w:pStyle w:val="TableTextSmall"/>
            </w:pPr>
            <w:r>
              <w:rPr>
                <w:color w:val="000000"/>
                <w:szCs w:val="16"/>
              </w:rPr>
              <w:t xml:space="preserve"> H S C</w:t>
            </w:r>
          </w:p>
        </w:tc>
        <w:tc>
          <w:tcPr>
            <w:tcW w:w="1701" w:type="dxa"/>
            <w:vAlign w:val="bottom"/>
          </w:tcPr>
          <w:p w:rsidR="00D7732E" w:rsidRDefault="00D7732E" w:rsidP="006916CE">
            <w:pPr>
              <w:pStyle w:val="TableTextSmall"/>
            </w:pPr>
            <w:r>
              <w:rPr>
                <w:color w:val="000000"/>
                <w:szCs w:val="16"/>
              </w:rPr>
              <w:t xml:space="preserve"> H S C</w:t>
            </w:r>
          </w:p>
        </w:tc>
        <w:tc>
          <w:tcPr>
            <w:tcW w:w="992" w:type="dxa"/>
            <w:vAlign w:val="bottom"/>
          </w:tcPr>
          <w:p w:rsidR="00D7732E" w:rsidRDefault="00D7732E" w:rsidP="006916CE">
            <w:pPr>
              <w:pStyle w:val="TableTextSmall"/>
            </w:pPr>
            <w:r>
              <w:rPr>
                <w:color w:val="000000"/>
                <w:szCs w:val="16"/>
              </w:rPr>
              <w:t>No</w:t>
            </w:r>
          </w:p>
        </w:tc>
        <w:tc>
          <w:tcPr>
            <w:tcW w:w="3451" w:type="dxa"/>
            <w:vAlign w:val="bottom"/>
          </w:tcPr>
          <w:p w:rsidR="00D7732E" w:rsidRDefault="00D7732E" w:rsidP="006916CE">
            <w:pPr>
              <w:pStyle w:val="TableTextSmall"/>
            </w:pPr>
            <w:r>
              <w:rPr>
                <w:color w:val="000000"/>
                <w:szCs w:val="16"/>
              </w:rPr>
              <w:t>Hard rock, sand and gravel, clay</w:t>
            </w:r>
          </w:p>
        </w:tc>
      </w:tr>
      <w:tr w:rsidR="00D7732E" w:rsidTr="006916CE">
        <w:tc>
          <w:tcPr>
            <w:tcW w:w="676" w:type="dxa"/>
            <w:vAlign w:val="center"/>
          </w:tcPr>
          <w:p w:rsidR="00D7732E" w:rsidRDefault="00D7732E" w:rsidP="006916CE">
            <w:pPr>
              <w:pStyle w:val="TableTextSmall"/>
            </w:pPr>
            <w:r>
              <w:t>17</w:t>
            </w:r>
          </w:p>
        </w:tc>
        <w:tc>
          <w:tcPr>
            <w:tcW w:w="2268" w:type="dxa"/>
            <w:vAlign w:val="center"/>
          </w:tcPr>
          <w:p w:rsidR="00D7732E" w:rsidRDefault="00D7732E" w:rsidP="006916CE">
            <w:pPr>
              <w:pStyle w:val="TableTextSmall"/>
            </w:pPr>
            <w:r>
              <w:rPr>
                <w:color w:val="000000"/>
                <w:szCs w:val="16"/>
              </w:rPr>
              <w:t>Golden Plains (S)</w:t>
            </w:r>
          </w:p>
        </w:tc>
        <w:tc>
          <w:tcPr>
            <w:tcW w:w="1701" w:type="dxa"/>
            <w:vAlign w:val="bottom"/>
          </w:tcPr>
          <w:p w:rsidR="00D7732E" w:rsidRDefault="00D7732E" w:rsidP="006916CE">
            <w:pPr>
              <w:pStyle w:val="TableTextSmall"/>
            </w:pPr>
            <w:r>
              <w:rPr>
                <w:color w:val="000000"/>
                <w:szCs w:val="16"/>
              </w:rPr>
              <w:t>C</w:t>
            </w:r>
          </w:p>
        </w:tc>
        <w:tc>
          <w:tcPr>
            <w:tcW w:w="1701" w:type="dxa"/>
            <w:vAlign w:val="bottom"/>
          </w:tcPr>
          <w:p w:rsidR="00D7732E" w:rsidRDefault="00D7732E" w:rsidP="006916CE">
            <w:pPr>
              <w:pStyle w:val="TableTextSmall"/>
            </w:pPr>
            <w:r>
              <w:rPr>
                <w:color w:val="000000"/>
                <w:szCs w:val="16"/>
              </w:rPr>
              <w:t xml:space="preserve"> S L C</w:t>
            </w:r>
          </w:p>
        </w:tc>
        <w:tc>
          <w:tcPr>
            <w:tcW w:w="1701" w:type="dxa"/>
            <w:vAlign w:val="bottom"/>
          </w:tcPr>
          <w:p w:rsidR="00D7732E" w:rsidRDefault="00D7732E" w:rsidP="006916CE">
            <w:pPr>
              <w:pStyle w:val="TableTextSmall"/>
            </w:pPr>
            <w:r>
              <w:rPr>
                <w:color w:val="000000"/>
                <w:szCs w:val="16"/>
              </w:rPr>
              <w:t xml:space="preserve"> C</w:t>
            </w:r>
          </w:p>
        </w:tc>
        <w:tc>
          <w:tcPr>
            <w:tcW w:w="1701" w:type="dxa"/>
            <w:vAlign w:val="bottom"/>
          </w:tcPr>
          <w:p w:rsidR="00D7732E" w:rsidRDefault="00D7732E" w:rsidP="006916CE">
            <w:pPr>
              <w:pStyle w:val="TableTextSmall"/>
            </w:pPr>
            <w:r>
              <w:rPr>
                <w:color w:val="000000"/>
                <w:szCs w:val="16"/>
              </w:rPr>
              <w:t xml:space="preserve"> C</w:t>
            </w:r>
          </w:p>
        </w:tc>
        <w:tc>
          <w:tcPr>
            <w:tcW w:w="992" w:type="dxa"/>
            <w:vAlign w:val="bottom"/>
          </w:tcPr>
          <w:p w:rsidR="00D7732E" w:rsidRDefault="00D7732E" w:rsidP="006916CE">
            <w:pPr>
              <w:pStyle w:val="TableTextSmall"/>
            </w:pPr>
            <w:r>
              <w:rPr>
                <w:color w:val="000000"/>
                <w:szCs w:val="16"/>
              </w:rPr>
              <w:t>No</w:t>
            </w:r>
          </w:p>
        </w:tc>
        <w:tc>
          <w:tcPr>
            <w:tcW w:w="3451" w:type="dxa"/>
            <w:vAlign w:val="bottom"/>
          </w:tcPr>
          <w:p w:rsidR="00D7732E" w:rsidRDefault="00D7732E" w:rsidP="006916CE">
            <w:pPr>
              <w:pStyle w:val="TableTextSmall"/>
            </w:pPr>
            <w:r>
              <w:rPr>
                <w:color w:val="000000"/>
                <w:szCs w:val="16"/>
              </w:rPr>
              <w:t>Clay</w:t>
            </w:r>
          </w:p>
        </w:tc>
      </w:tr>
      <w:tr w:rsidR="00D7732E" w:rsidTr="006916CE">
        <w:tc>
          <w:tcPr>
            <w:tcW w:w="676" w:type="dxa"/>
            <w:vAlign w:val="center"/>
          </w:tcPr>
          <w:p w:rsidR="00D7732E" w:rsidRDefault="00D7732E" w:rsidP="006916CE">
            <w:pPr>
              <w:pStyle w:val="TableTextSmall"/>
            </w:pPr>
            <w:r>
              <w:t>18</w:t>
            </w:r>
          </w:p>
        </w:tc>
        <w:tc>
          <w:tcPr>
            <w:tcW w:w="2268" w:type="dxa"/>
            <w:vAlign w:val="center"/>
          </w:tcPr>
          <w:p w:rsidR="00D7732E" w:rsidRDefault="00D7732E" w:rsidP="006916CE">
            <w:pPr>
              <w:pStyle w:val="TableTextSmall"/>
            </w:pPr>
            <w:r>
              <w:rPr>
                <w:color w:val="000000"/>
                <w:szCs w:val="16"/>
              </w:rPr>
              <w:t>Northern Grampians (S)</w:t>
            </w:r>
          </w:p>
        </w:tc>
        <w:tc>
          <w:tcPr>
            <w:tcW w:w="1701" w:type="dxa"/>
            <w:vAlign w:val="bottom"/>
          </w:tcPr>
          <w:p w:rsidR="00D7732E" w:rsidRDefault="00D7732E" w:rsidP="006916CE">
            <w:pPr>
              <w:pStyle w:val="TableTextSmall"/>
            </w:pPr>
            <w:r>
              <w:rPr>
                <w:color w:val="000000"/>
                <w:szCs w:val="16"/>
              </w:rPr>
              <w:t>Ho C</w:t>
            </w:r>
          </w:p>
        </w:tc>
        <w:tc>
          <w:tcPr>
            <w:tcW w:w="1701" w:type="dxa"/>
            <w:vAlign w:val="bottom"/>
          </w:tcPr>
          <w:p w:rsidR="00D7732E" w:rsidRDefault="00D7732E" w:rsidP="006916CE">
            <w:pPr>
              <w:pStyle w:val="TableTextSmall"/>
            </w:pPr>
            <w:r>
              <w:rPr>
                <w:color w:val="000000"/>
                <w:szCs w:val="16"/>
              </w:rPr>
              <w:t xml:space="preserve"> S L C</w:t>
            </w:r>
          </w:p>
        </w:tc>
        <w:tc>
          <w:tcPr>
            <w:tcW w:w="1701" w:type="dxa"/>
            <w:vAlign w:val="bottom"/>
          </w:tcPr>
          <w:p w:rsidR="00D7732E" w:rsidRDefault="00D7732E" w:rsidP="006916CE">
            <w:pPr>
              <w:pStyle w:val="TableTextSmall"/>
            </w:pPr>
            <w:r>
              <w:rPr>
                <w:color w:val="000000"/>
                <w:szCs w:val="16"/>
              </w:rPr>
              <w:t xml:space="preserve"> H S C</w:t>
            </w:r>
          </w:p>
        </w:tc>
        <w:tc>
          <w:tcPr>
            <w:tcW w:w="1701" w:type="dxa"/>
            <w:vAlign w:val="bottom"/>
          </w:tcPr>
          <w:p w:rsidR="00D7732E" w:rsidRDefault="00D7732E" w:rsidP="006916CE">
            <w:pPr>
              <w:pStyle w:val="TableTextSmall"/>
            </w:pPr>
            <w:r>
              <w:rPr>
                <w:color w:val="000000"/>
                <w:szCs w:val="16"/>
              </w:rPr>
              <w:t xml:space="preserve"> H S C</w:t>
            </w:r>
          </w:p>
        </w:tc>
        <w:tc>
          <w:tcPr>
            <w:tcW w:w="992" w:type="dxa"/>
            <w:vAlign w:val="bottom"/>
          </w:tcPr>
          <w:p w:rsidR="00D7732E" w:rsidRDefault="00D7732E" w:rsidP="006916CE">
            <w:pPr>
              <w:pStyle w:val="TableTextSmall"/>
            </w:pPr>
            <w:r>
              <w:rPr>
                <w:color w:val="000000"/>
                <w:szCs w:val="16"/>
              </w:rPr>
              <w:t>No</w:t>
            </w:r>
          </w:p>
        </w:tc>
        <w:tc>
          <w:tcPr>
            <w:tcW w:w="3451" w:type="dxa"/>
            <w:vAlign w:val="bottom"/>
          </w:tcPr>
          <w:p w:rsidR="00D7732E" w:rsidRDefault="00D7732E" w:rsidP="006916CE">
            <w:pPr>
              <w:pStyle w:val="TableTextSmall"/>
            </w:pPr>
            <w:r>
              <w:rPr>
                <w:color w:val="000000"/>
                <w:szCs w:val="16"/>
              </w:rPr>
              <w:t>Hard rock, sand and gravel, clay</w:t>
            </w:r>
          </w:p>
        </w:tc>
      </w:tr>
      <w:tr w:rsidR="00D7732E" w:rsidTr="006916CE">
        <w:tc>
          <w:tcPr>
            <w:tcW w:w="676" w:type="dxa"/>
            <w:vAlign w:val="center"/>
          </w:tcPr>
          <w:p w:rsidR="00D7732E" w:rsidRDefault="00D7732E" w:rsidP="006916CE">
            <w:pPr>
              <w:pStyle w:val="TableTextSmall"/>
            </w:pPr>
            <w:r>
              <w:t>19</w:t>
            </w:r>
          </w:p>
        </w:tc>
        <w:tc>
          <w:tcPr>
            <w:tcW w:w="2268" w:type="dxa"/>
            <w:vAlign w:val="center"/>
          </w:tcPr>
          <w:p w:rsidR="00D7732E" w:rsidRDefault="00D7732E" w:rsidP="006916CE">
            <w:pPr>
              <w:pStyle w:val="TableTextSmall"/>
            </w:pPr>
            <w:r>
              <w:rPr>
                <w:color w:val="000000"/>
                <w:szCs w:val="16"/>
              </w:rPr>
              <w:t>Bass Coast (S)</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 S</w:t>
            </w:r>
          </w:p>
        </w:tc>
        <w:tc>
          <w:tcPr>
            <w:tcW w:w="1701" w:type="dxa"/>
            <w:vAlign w:val="bottom"/>
          </w:tcPr>
          <w:p w:rsidR="00D7732E" w:rsidRDefault="00D7732E" w:rsidP="006916CE">
            <w:pPr>
              <w:pStyle w:val="TableTextSmall"/>
            </w:pPr>
            <w:r>
              <w:rPr>
                <w:color w:val="000000"/>
                <w:szCs w:val="16"/>
              </w:rPr>
              <w:t xml:space="preserve"> H S</w:t>
            </w:r>
          </w:p>
        </w:tc>
        <w:tc>
          <w:tcPr>
            <w:tcW w:w="1701" w:type="dxa"/>
            <w:vAlign w:val="bottom"/>
          </w:tcPr>
          <w:p w:rsidR="00D7732E" w:rsidRDefault="00D7732E" w:rsidP="006916CE">
            <w:pPr>
              <w:pStyle w:val="TableTextSmall"/>
            </w:pPr>
            <w:r>
              <w:rPr>
                <w:color w:val="000000"/>
                <w:szCs w:val="16"/>
              </w:rPr>
              <w:t xml:space="preserve"> H S</w:t>
            </w:r>
          </w:p>
        </w:tc>
        <w:tc>
          <w:tcPr>
            <w:tcW w:w="992" w:type="dxa"/>
            <w:vAlign w:val="bottom"/>
          </w:tcPr>
          <w:p w:rsidR="00D7732E" w:rsidRDefault="00D7732E" w:rsidP="006916CE">
            <w:pPr>
              <w:pStyle w:val="TableTextSmall"/>
            </w:pPr>
            <w:r>
              <w:rPr>
                <w:color w:val="000000"/>
                <w:szCs w:val="16"/>
              </w:rPr>
              <w:t>No</w:t>
            </w:r>
          </w:p>
        </w:tc>
        <w:tc>
          <w:tcPr>
            <w:tcW w:w="3451" w:type="dxa"/>
            <w:vAlign w:val="bottom"/>
          </w:tcPr>
          <w:p w:rsidR="00D7732E" w:rsidRDefault="00D7732E" w:rsidP="006916CE">
            <w:pPr>
              <w:pStyle w:val="TableTextSmall"/>
            </w:pPr>
            <w:r>
              <w:rPr>
                <w:color w:val="000000"/>
                <w:szCs w:val="16"/>
              </w:rPr>
              <w:t>Hard rock, sand and gravel</w:t>
            </w:r>
          </w:p>
        </w:tc>
      </w:tr>
      <w:tr w:rsidR="00D7732E" w:rsidTr="006916CE">
        <w:tc>
          <w:tcPr>
            <w:tcW w:w="676" w:type="dxa"/>
          </w:tcPr>
          <w:p w:rsidR="00D7732E" w:rsidRDefault="00D7732E" w:rsidP="006916CE">
            <w:pPr>
              <w:pStyle w:val="TableTextSmall"/>
            </w:pPr>
            <w:r>
              <w:t>20</w:t>
            </w:r>
          </w:p>
        </w:tc>
        <w:tc>
          <w:tcPr>
            <w:tcW w:w="2268" w:type="dxa"/>
            <w:vAlign w:val="center"/>
          </w:tcPr>
          <w:p w:rsidR="00D7732E" w:rsidRDefault="00D7732E" w:rsidP="006916CE">
            <w:pPr>
              <w:pStyle w:val="TableTextSmall"/>
            </w:pPr>
            <w:r>
              <w:rPr>
                <w:color w:val="000000"/>
                <w:szCs w:val="16"/>
              </w:rPr>
              <w:t>Wyndham (C)</w:t>
            </w:r>
          </w:p>
        </w:tc>
        <w:tc>
          <w:tcPr>
            <w:tcW w:w="1701" w:type="dxa"/>
            <w:vAlign w:val="bottom"/>
          </w:tcPr>
          <w:p w:rsidR="00D7732E" w:rsidRDefault="00D7732E" w:rsidP="006916CE">
            <w:pPr>
              <w:pStyle w:val="TableTextSmall"/>
            </w:pPr>
            <w:r>
              <w:rPr>
                <w:color w:val="000000"/>
                <w:szCs w:val="16"/>
              </w:rPr>
              <w:t> </w:t>
            </w:r>
          </w:p>
        </w:tc>
        <w:tc>
          <w:tcPr>
            <w:tcW w:w="1701" w:type="dxa"/>
            <w:vAlign w:val="bottom"/>
          </w:tcPr>
          <w:p w:rsidR="00D7732E" w:rsidRDefault="00D7732E" w:rsidP="006916CE">
            <w:pPr>
              <w:pStyle w:val="TableTextSmall"/>
            </w:pPr>
            <w:r>
              <w:rPr>
                <w:color w:val="000000"/>
                <w:szCs w:val="16"/>
              </w:rPr>
              <w:t xml:space="preserve"> H</w:t>
            </w:r>
          </w:p>
        </w:tc>
        <w:tc>
          <w:tcPr>
            <w:tcW w:w="1701" w:type="dxa"/>
            <w:vAlign w:val="bottom"/>
          </w:tcPr>
          <w:p w:rsidR="00D7732E" w:rsidRDefault="00D7732E" w:rsidP="006916CE">
            <w:pPr>
              <w:pStyle w:val="TableTextSmall"/>
            </w:pPr>
            <w:r>
              <w:rPr>
                <w:color w:val="000000"/>
                <w:szCs w:val="16"/>
              </w:rPr>
              <w:t xml:space="preserve"> H</w:t>
            </w:r>
          </w:p>
        </w:tc>
        <w:tc>
          <w:tcPr>
            <w:tcW w:w="1701" w:type="dxa"/>
            <w:vAlign w:val="bottom"/>
          </w:tcPr>
          <w:p w:rsidR="00D7732E" w:rsidRDefault="00D7732E" w:rsidP="006916CE">
            <w:pPr>
              <w:pStyle w:val="TableTextSmall"/>
            </w:pPr>
            <w:r>
              <w:rPr>
                <w:color w:val="000000"/>
                <w:szCs w:val="16"/>
              </w:rPr>
              <w:t xml:space="preserve"> H</w:t>
            </w:r>
          </w:p>
        </w:tc>
        <w:tc>
          <w:tcPr>
            <w:tcW w:w="992" w:type="dxa"/>
            <w:vAlign w:val="bottom"/>
          </w:tcPr>
          <w:p w:rsidR="00D7732E" w:rsidRDefault="00D7732E" w:rsidP="006916CE">
            <w:pPr>
              <w:pStyle w:val="TableTextSmall"/>
            </w:pPr>
            <w:r>
              <w:rPr>
                <w:color w:val="000000"/>
                <w:szCs w:val="16"/>
              </w:rPr>
              <w:t>No</w:t>
            </w:r>
          </w:p>
        </w:tc>
        <w:tc>
          <w:tcPr>
            <w:tcW w:w="3451" w:type="dxa"/>
            <w:vAlign w:val="bottom"/>
          </w:tcPr>
          <w:p w:rsidR="00D7732E" w:rsidRDefault="00D7732E" w:rsidP="006916CE">
            <w:pPr>
              <w:pStyle w:val="TableTextSmall"/>
            </w:pPr>
            <w:r>
              <w:rPr>
                <w:color w:val="000000"/>
                <w:szCs w:val="16"/>
              </w:rPr>
              <w:t>Hard rock</w:t>
            </w:r>
          </w:p>
        </w:tc>
      </w:tr>
    </w:tbl>
    <w:p w:rsidR="00A03F70" w:rsidRDefault="00D7732E" w:rsidP="00A03F70">
      <w:pPr>
        <w:pStyle w:val="Sources"/>
        <w:sectPr w:rsidR="00A03F70" w:rsidSect="001A7D05">
          <w:pgSz w:w="16840" w:h="11907" w:orient="landscape" w:code="9"/>
          <w:pgMar w:top="1843" w:right="1588" w:bottom="1843" w:left="1418" w:header="567" w:footer="567" w:gutter="0"/>
          <w:cols w:space="227"/>
          <w:docGrid w:linePitch="360"/>
        </w:sectPr>
      </w:pPr>
      <w:r>
        <w:t>Source: PwC analysis</w:t>
      </w:r>
      <w:r w:rsidR="00D041AE">
        <w:t>. H = Hard rock, S = Sand and gravel, L = Limestone, C = Clay and clay shale, Ho = Hornfels, a sub-category of the Hard rock resource grouping.</w:t>
      </w:r>
    </w:p>
    <w:p w:rsidR="00DA54C5" w:rsidRDefault="00A03F70" w:rsidP="00546EA3">
      <w:pPr>
        <w:pStyle w:val="PwCNormal"/>
      </w:pPr>
      <w:r>
        <w:t>Based on the findings detailed i</w:t>
      </w:r>
      <w:r w:rsidR="000B211A">
        <w:t xml:space="preserve">n </w:t>
      </w:r>
      <w:r w:rsidR="000B211A">
        <w:fldChar w:fldCharType="begin"/>
      </w:r>
      <w:r w:rsidR="000B211A">
        <w:instrText xml:space="preserve"> REF _Ref448913671 \h </w:instrText>
      </w:r>
      <w:r w:rsidR="000B211A">
        <w:fldChar w:fldCharType="separate"/>
      </w:r>
      <w:r w:rsidR="00E22E13">
        <w:t xml:space="preserve">Table </w:t>
      </w:r>
      <w:r w:rsidR="00E22E13">
        <w:rPr>
          <w:noProof/>
        </w:rPr>
        <w:t>9</w:t>
      </w:r>
      <w:r w:rsidR="000B211A">
        <w:fldChar w:fldCharType="end"/>
      </w:r>
      <w:r w:rsidR="000B211A">
        <w:t>,</w:t>
      </w:r>
      <w:r>
        <w:t xml:space="preserve"> several resource locations are identified as the most critical to the State’s future. </w:t>
      </w:r>
    </w:p>
    <w:p w:rsidR="00DA54C5" w:rsidRDefault="00DA54C5" w:rsidP="00DA54C5">
      <w:pPr>
        <w:pStyle w:val="PwCNormal"/>
      </w:pPr>
      <w:r>
        <w:fldChar w:fldCharType="begin"/>
      </w:r>
      <w:r>
        <w:instrText xml:space="preserve"> REF _Ref447718724 \h </w:instrText>
      </w:r>
      <w:r>
        <w:fldChar w:fldCharType="separate"/>
      </w:r>
      <w:r w:rsidR="00E22E13">
        <w:t xml:space="preserve">Figure </w:t>
      </w:r>
      <w:r w:rsidR="00E22E13">
        <w:rPr>
          <w:noProof/>
        </w:rPr>
        <w:t>27</w:t>
      </w:r>
      <w:r>
        <w:fldChar w:fldCharType="end"/>
      </w:r>
      <w:r>
        <w:t xml:space="preserve"> provides a map of the 15 critical resource locations, showing the concentration of these areas in relative proximity to Melbourne. The top-ranked </w:t>
      </w:r>
      <w:r>
        <w:rPr>
          <w:lang w:eastAsia="en-AU"/>
        </w:rPr>
        <w:t xml:space="preserve">critical resource </w:t>
      </w:r>
      <w:r>
        <w:t xml:space="preserve">locations are represented by darker shades of red in the figure relative to the lower-ranked locations. The bracketed number after each location’s name shows its ranking as a critical resource location. </w:t>
      </w:r>
    </w:p>
    <w:p w:rsidR="00A03F70" w:rsidRDefault="00A03F70" w:rsidP="00546EA3">
      <w:pPr>
        <w:pStyle w:val="PwCNormal"/>
      </w:pPr>
    </w:p>
    <w:p w:rsidR="00A03F70" w:rsidRDefault="00A03F70" w:rsidP="00A03F70">
      <w:pPr>
        <w:pStyle w:val="PwCNormal"/>
        <w:sectPr w:rsidR="00A03F70" w:rsidSect="001A7D05">
          <w:pgSz w:w="11907" w:h="16840" w:code="9"/>
          <w:pgMar w:top="1588" w:right="1843" w:bottom="1418" w:left="1843" w:header="567" w:footer="567" w:gutter="0"/>
          <w:cols w:space="227"/>
          <w:docGrid w:linePitch="360"/>
        </w:sectPr>
      </w:pPr>
    </w:p>
    <w:p w:rsidR="00A03F70" w:rsidRDefault="00A03F70" w:rsidP="00A03F70">
      <w:pPr>
        <w:pStyle w:val="Caption"/>
      </w:pPr>
      <w:bookmarkStart w:id="195" w:name="_Ref447718724"/>
      <w:r>
        <w:t xml:space="preserve">Figure </w:t>
      </w:r>
      <w:fldSimple w:instr=" SEQ Figure \* ARABIC ">
        <w:r w:rsidR="00E22E13">
          <w:rPr>
            <w:noProof/>
          </w:rPr>
          <w:t>27</w:t>
        </w:r>
      </w:fldSimple>
      <w:bookmarkEnd w:id="195"/>
      <w:r>
        <w:t>: Critical strategic resource locations - Consolidated view</w:t>
      </w:r>
    </w:p>
    <w:p w:rsidR="00A03F70" w:rsidRDefault="002A2CF6" w:rsidP="006916CE">
      <w:pPr>
        <w:pStyle w:val="Sources"/>
      </w:pPr>
      <w:r>
        <w:rPr>
          <w:noProof/>
          <w:snapToGrid/>
          <w:lang w:eastAsia="en-AU"/>
        </w:rPr>
        <mc:AlternateContent>
          <mc:Choice Requires="wps">
            <w:drawing>
              <wp:anchor distT="0" distB="0" distL="114300" distR="114300" simplePos="0" relativeHeight="251708416" behindDoc="0" locked="0" layoutInCell="1" allowOverlap="1" wp14:anchorId="279C2080" wp14:editId="2B978E7E">
                <wp:simplePos x="0" y="0"/>
                <wp:positionH relativeFrom="column">
                  <wp:posOffset>4872217</wp:posOffset>
                </wp:positionH>
                <wp:positionV relativeFrom="paragraph">
                  <wp:posOffset>4230922</wp:posOffset>
                </wp:positionV>
                <wp:extent cx="1876508" cy="397565"/>
                <wp:effectExtent l="0" t="0" r="28575" b="21590"/>
                <wp:wrapNone/>
                <wp:docPr id="15419" name="Text Box 15419"/>
                <wp:cNvGraphicFramePr/>
                <a:graphic xmlns:a="http://schemas.openxmlformats.org/drawingml/2006/main">
                  <a:graphicData uri="http://schemas.microsoft.com/office/word/2010/wordprocessingShape">
                    <wps:wsp>
                      <wps:cNvSpPr txBox="1"/>
                      <wps:spPr>
                        <a:xfrm>
                          <a:off x="0" y="0"/>
                          <a:ext cx="1876508" cy="397565"/>
                        </a:xfrm>
                        <a:prstGeom prst="rect">
                          <a:avLst/>
                        </a:prstGeom>
                        <a:solidFill>
                          <a:schemeClr val="bg1"/>
                        </a:solidFill>
                        <a:ln w="6350">
                          <a:solidFill>
                            <a:schemeClr val="bg1"/>
                          </a:solidFill>
                        </a:ln>
                      </wps:spPr>
                      <wps:txbx>
                        <w:txbxContent>
                          <w:p w:rsidR="00F752F4" w:rsidRDefault="00F752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9C2080" id="Text Box 15419" o:spid="_x0000_s1028" type="#_x0000_t202" style="position:absolute;margin-left:383.65pt;margin-top:333.15pt;width:147.75pt;height:31.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" fillcolor="white [3212]" strokecolor="white [3212]" strokeweight=".5pt">
                <v:textbox inset="0,0,0,0">
                  <w:txbxContent>
                    <w:p w:rsidR="00F752F4" w:rsidRDefault="00F752F4"/>
                  </w:txbxContent>
                </v:textbox>
              </v:shape>
            </w:pict>
          </mc:Fallback>
        </mc:AlternateContent>
      </w:r>
      <w:r w:rsidR="000C1439" w:rsidRPr="000C1439">
        <w:rPr>
          <w:noProof/>
          <w:snapToGrid/>
          <w:lang w:eastAsia="en-AU"/>
        </w:rPr>
        <w:t xml:space="preserve"> </w:t>
      </w:r>
      <w:r w:rsidR="000C1439">
        <w:rPr>
          <w:noProof/>
          <w:snapToGrid/>
          <w:lang w:eastAsia="en-AU"/>
        </w:rPr>
        <w:drawing>
          <wp:inline distT="0" distB="0" distL="0" distR="0" wp14:anchorId="70422FE4" wp14:editId="36343FE8">
            <wp:extent cx="6877683" cy="4955458"/>
            <wp:effectExtent l="0" t="0" r="0" b="0"/>
            <wp:docPr id="15370" name="Picture 15370" descr="Figure 27 shows a map of the top 20 ranked LGAs.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877683" cy="4955458"/>
                    </a:xfrm>
                    <a:prstGeom prst="rect">
                      <a:avLst/>
                    </a:prstGeom>
                  </pic:spPr>
                </pic:pic>
              </a:graphicData>
            </a:graphic>
          </wp:inline>
        </w:drawing>
      </w:r>
      <w:r w:rsidR="000C1439">
        <w:t xml:space="preserve"> </w:t>
      </w:r>
      <w:r w:rsidR="00A03F70">
        <w:t>Source: PwC analysis</w:t>
      </w:r>
    </w:p>
    <w:p w:rsidR="00A03F70" w:rsidRDefault="00A03F70" w:rsidP="006916CE">
      <w:pPr>
        <w:pStyle w:val="Sources"/>
        <w:sectPr w:rsidR="00A03F70" w:rsidSect="001A7D05">
          <w:pgSz w:w="16840" w:h="11907" w:orient="landscape" w:code="9"/>
          <w:pgMar w:top="1843" w:right="1588" w:bottom="1843" w:left="1418" w:header="567" w:footer="567" w:gutter="0"/>
          <w:cols w:space="227"/>
          <w:docGrid w:linePitch="360"/>
        </w:sectPr>
      </w:pPr>
    </w:p>
    <w:p w:rsidR="00DA54C5" w:rsidRDefault="00DA54C5" w:rsidP="00DA54C5">
      <w:pPr>
        <w:pStyle w:val="Heading7"/>
      </w:pPr>
      <w:r>
        <w:t>Top five critical resource locations, in detail</w:t>
      </w:r>
    </w:p>
    <w:p w:rsidR="00DA54C5" w:rsidRPr="009D14D8" w:rsidRDefault="00DA54C5" w:rsidP="00DA54C5">
      <w:pPr>
        <w:pStyle w:val="PwCNormal"/>
      </w:pPr>
      <w:r>
        <w:t>The top five critical resource locations are:</w:t>
      </w:r>
    </w:p>
    <w:p w:rsidR="00DA54C5" w:rsidRPr="00E7107D" w:rsidRDefault="00DA54C5" w:rsidP="00DA54C5">
      <w:pPr>
        <w:pStyle w:val="ChapterNumberedList1"/>
        <w:rPr>
          <w:b/>
        </w:rPr>
      </w:pPr>
      <w:r w:rsidRPr="0032256E">
        <w:rPr>
          <w:b/>
        </w:rPr>
        <w:t>South Gippsland</w:t>
      </w:r>
      <w:r w:rsidRPr="0032256E">
        <w:rPr>
          <w:b/>
        </w:rPr>
        <w:br/>
      </w:r>
      <w:r w:rsidRPr="0032256E">
        <w:rPr>
          <w:b/>
        </w:rPr>
        <w:br/>
      </w:r>
      <w:r>
        <w:t>South Gippsland emerges as a critical location for hard rock and sand and gravel resources in Victoria, supplying approximately 33 per cent of the State’s hard rock needs and 22 per cent of its sand and gravel needs across the analysis period of 2015</w:t>
      </w:r>
      <w:r w:rsidR="006925D6">
        <w:t xml:space="preserve"> to 20</w:t>
      </w:r>
      <w:r>
        <w:t xml:space="preserve">50. South Gippsland’s relative proximity to key sources of demand drives this assessment. </w:t>
      </w:r>
      <w:r>
        <w:br/>
      </w:r>
      <w:r>
        <w:br/>
        <w:t>While some exhaustion of sand and gravel reserves is anticipated as noted under Criterion 2, South Gippsland has sufficient indicated current and planned future hard rock reserves to support large volumes of resource production across 2015</w:t>
      </w:r>
      <w:r w:rsidR="006925D6">
        <w:t xml:space="preserve"> to 20</w:t>
      </w:r>
      <w:r>
        <w:t xml:space="preserve">50. This makes South Gippsland a critical location to support the State’s future development. </w:t>
      </w:r>
      <w:r>
        <w:br/>
      </w:r>
      <w:r>
        <w:br/>
      </w:r>
      <w:r w:rsidRPr="009D14D8">
        <w:rPr>
          <w:i/>
          <w:color w:val="A32020" w:themeColor="accent1"/>
        </w:rPr>
        <w:t xml:space="preserve">Key </w:t>
      </w:r>
      <w:r>
        <w:rPr>
          <w:i/>
          <w:color w:val="A32020" w:themeColor="accent1"/>
        </w:rPr>
        <w:t>demand</w:t>
      </w:r>
      <w:r w:rsidRPr="009D14D8">
        <w:rPr>
          <w:i/>
          <w:color w:val="A32020" w:themeColor="accent1"/>
        </w:rPr>
        <w:t xml:space="preserve"> destinations for South Gippsland’s resources</w:t>
      </w:r>
      <w:r w:rsidRPr="002B100D">
        <w:br/>
      </w:r>
      <w:r w:rsidRPr="002B100D">
        <w:br/>
      </w:r>
      <w:r>
        <w:t>Demand for South Gippsland’s resources comes</w:t>
      </w:r>
      <w:r w:rsidR="008775EA">
        <w:t xml:space="preserve"> largely from Greater Melbourne:</w:t>
      </w:r>
      <w:r>
        <w:t xml:space="preserve"> In 2050, 80 per cent of South Gippsland’s supply is estimated to be demanded by </w:t>
      </w:r>
      <w:r w:rsidR="008775EA">
        <w:t>the city</w:t>
      </w:r>
      <w:r w:rsidR="009C7D8B">
        <w:t xml:space="preserve">, which </w:t>
      </w:r>
      <w:r w:rsidR="008775EA">
        <w:t xml:space="preserve">is driven largely by residential and commercial construction demand. </w:t>
      </w:r>
      <w:r w:rsidR="0075156F">
        <w:t>The</w:t>
      </w:r>
      <w:r>
        <w:t xml:space="preserve"> remaining 20 per cent com</w:t>
      </w:r>
      <w:r w:rsidR="0075156F">
        <w:t>es in part</w:t>
      </w:r>
      <w:r>
        <w:t xml:space="preserve"> from regional cities such as Greater Geelong and Ballarat</w:t>
      </w:r>
      <w:r w:rsidR="008775EA">
        <w:t xml:space="preserve"> (</w:t>
      </w:r>
      <w:r w:rsidR="0075156F">
        <w:t>which are both areas where wind farm demand is present</w:t>
      </w:r>
      <w:r w:rsidR="008775EA">
        <w:t xml:space="preserve"> in some years)</w:t>
      </w:r>
      <w:r>
        <w:t xml:space="preserve"> and from other areas close to Melbourne’s fringe such as Mitchell and Macedon Ranges.</w:t>
      </w:r>
      <w:r w:rsidR="0075156F">
        <w:t xml:space="preserve"> </w:t>
      </w:r>
    </w:p>
    <w:p w:rsidR="00DA54C5" w:rsidRPr="00E7107D" w:rsidRDefault="00DA54C5" w:rsidP="00DA54C5">
      <w:pPr>
        <w:pStyle w:val="ChapterNumberedList1"/>
        <w:rPr>
          <w:b/>
        </w:rPr>
      </w:pPr>
      <w:r w:rsidRPr="0032256E">
        <w:rPr>
          <w:b/>
        </w:rPr>
        <w:t>Greater Geelong</w:t>
      </w:r>
      <w:r w:rsidRPr="0032256E">
        <w:rPr>
          <w:b/>
        </w:rPr>
        <w:br/>
      </w:r>
      <w:r w:rsidRPr="0032256E">
        <w:rPr>
          <w:b/>
        </w:rPr>
        <w:br/>
      </w:r>
      <w:r>
        <w:t xml:space="preserve">Whilst Greater Geelong is a noted location for hard rock and sand and gravel, its contribution to limestone production is most significant. The region is expected to deliver approximately 43 per cent of Victoria’s supply of limestone across 2015-50, </w:t>
      </w:r>
      <w:r w:rsidRPr="00EC7027">
        <w:t>in large part due to its relative proximity to Greater Melbourne</w:t>
      </w:r>
      <w:r>
        <w:t>. It is noted that limestone is a key input into concrete production, meaning this resource is important to all construction methods employing concrete products.</w:t>
      </w:r>
      <w:r>
        <w:br/>
      </w:r>
      <w:r>
        <w:br/>
      </w:r>
      <w:r w:rsidRPr="009D14D8">
        <w:rPr>
          <w:i/>
          <w:color w:val="A32020" w:themeColor="accent1"/>
        </w:rPr>
        <w:t xml:space="preserve">Key </w:t>
      </w:r>
      <w:r>
        <w:rPr>
          <w:i/>
          <w:color w:val="A32020" w:themeColor="accent1"/>
        </w:rPr>
        <w:t>demand</w:t>
      </w:r>
      <w:r w:rsidRPr="009D14D8">
        <w:rPr>
          <w:i/>
          <w:color w:val="A32020" w:themeColor="accent1"/>
        </w:rPr>
        <w:t xml:space="preserve"> destinations for </w:t>
      </w:r>
      <w:r>
        <w:rPr>
          <w:i/>
          <w:color w:val="A32020" w:themeColor="accent1"/>
        </w:rPr>
        <w:t>Greater Geelong</w:t>
      </w:r>
      <w:r w:rsidRPr="009D14D8">
        <w:rPr>
          <w:i/>
          <w:color w:val="A32020" w:themeColor="accent1"/>
        </w:rPr>
        <w:t>’s resources</w:t>
      </w:r>
      <w:r>
        <w:br/>
      </w:r>
      <w:r>
        <w:br/>
        <w:t xml:space="preserve">Like South Gippsland, demand for Greater Geelong’s extractive resources is largely urban-driven, with approximately 76 per cent of 2050 supply going to locations within Metropolitan Melbourne. Much of this goes to Melbourne LGA (15 per cent) though significant volumes are also provided to the growth regions of Wyndham (seven per cent), Melton (five per cent) and Hume (four per cent). </w:t>
      </w:r>
      <w:r w:rsidR="008775EA">
        <w:t xml:space="preserve">These growth areas are noted for significant engineering construction demand. </w:t>
      </w:r>
      <w:r>
        <w:t xml:space="preserve">Greater Geelong additionally satisfies a lot of its own demand, with 7 per cent of 2050 supply staying within the LGA. </w:t>
      </w:r>
    </w:p>
    <w:p w:rsidR="00DA54C5" w:rsidRPr="00E7107D" w:rsidRDefault="00DA54C5" w:rsidP="00DA54C5">
      <w:pPr>
        <w:pStyle w:val="ChapterNumberedList1"/>
        <w:rPr>
          <w:b/>
        </w:rPr>
      </w:pPr>
      <w:r>
        <w:rPr>
          <w:b/>
        </w:rPr>
        <w:t>Mitchell</w:t>
      </w:r>
      <w:r>
        <w:rPr>
          <w:b/>
        </w:rPr>
        <w:br/>
      </w:r>
      <w:r>
        <w:rPr>
          <w:b/>
        </w:rPr>
        <w:br/>
      </w:r>
      <w:r>
        <w:t>Mitchell’s primary contribution to the State’s 2015</w:t>
      </w:r>
      <w:r w:rsidR="006925D6">
        <w:t xml:space="preserve"> to 20</w:t>
      </w:r>
      <w:r>
        <w:t xml:space="preserve">50 extractive resource supply is in clay and clay shale, of which it supplies a relatively large share of total State supply. The LGA also possesses sizeable hard rock reserves along with some sand and gravel, which make Mitchell a key resource location for Victoria. </w:t>
      </w:r>
      <w:r>
        <w:br/>
      </w:r>
      <w:r>
        <w:br/>
      </w:r>
      <w:r w:rsidRPr="009D14D8">
        <w:rPr>
          <w:i/>
          <w:color w:val="A32020" w:themeColor="accent1"/>
        </w:rPr>
        <w:t xml:space="preserve">Key </w:t>
      </w:r>
      <w:r>
        <w:rPr>
          <w:i/>
          <w:color w:val="A32020" w:themeColor="accent1"/>
        </w:rPr>
        <w:t>demand</w:t>
      </w:r>
      <w:r w:rsidRPr="009D14D8">
        <w:rPr>
          <w:i/>
          <w:color w:val="A32020" w:themeColor="accent1"/>
        </w:rPr>
        <w:t xml:space="preserve"> destinations for </w:t>
      </w:r>
      <w:r>
        <w:rPr>
          <w:i/>
          <w:color w:val="A32020" w:themeColor="accent1"/>
        </w:rPr>
        <w:t>Mitchell</w:t>
      </w:r>
      <w:r w:rsidRPr="009D14D8">
        <w:rPr>
          <w:i/>
          <w:color w:val="A32020" w:themeColor="accent1"/>
        </w:rPr>
        <w:t>’s resources</w:t>
      </w:r>
      <w:r>
        <w:rPr>
          <w:i/>
          <w:color w:val="A32020" w:themeColor="accent1"/>
        </w:rPr>
        <w:br/>
      </w:r>
      <w:r>
        <w:rPr>
          <w:i/>
          <w:color w:val="A32020" w:themeColor="accent1"/>
        </w:rPr>
        <w:br/>
      </w:r>
      <w:r>
        <w:t>Mitchell’s location in Central Victoria means that it is able to deliver resources to more regional locations in the State’s North. While the majority is provided to urban locations in Metropolitan Melbourne (at 69 per cent of 2050 supply), Mitchell is a strong supplier into the regional cities of Greater Bendigo (four per cent), Greater Geelong (three per cent) and Greater Shepparton (three per cent).</w:t>
      </w:r>
      <w:r w:rsidR="008775EA">
        <w:t xml:space="preserve"> While the majority of Mitchell’s resources are estimated to satisfy residential and commercial construction demand, these regional cities demand relatively large volumes of material in relation to engineering construction. Mitchell </w:t>
      </w:r>
      <w:r>
        <w:t>also satisfies some of its own demand, with seve</w:t>
      </w:r>
      <w:r w:rsidR="008775EA">
        <w:t>n</w:t>
      </w:r>
      <w:r>
        <w:t> per cent of 2050 supply staying within Mitchell.</w:t>
      </w:r>
    </w:p>
    <w:p w:rsidR="00DA54C5" w:rsidRPr="00E7107D" w:rsidRDefault="00DA54C5" w:rsidP="00DA54C5">
      <w:pPr>
        <w:pStyle w:val="ChapterNumberedList1"/>
        <w:rPr>
          <w:b/>
        </w:rPr>
      </w:pPr>
      <w:r>
        <w:rPr>
          <w:b/>
        </w:rPr>
        <w:t>Knox</w:t>
      </w:r>
      <w:r>
        <w:rPr>
          <w:b/>
        </w:rPr>
        <w:br/>
      </w:r>
      <w:r>
        <w:rPr>
          <w:b/>
        </w:rPr>
        <w:br/>
      </w:r>
      <w:r>
        <w:t>Knox is expected to deliver significant volumes both of hard rock resources and of clay and clay shale. Further to this, some exhaustion of current and planned future licensed reserves of these resources is anticipated in Knox. In combination this suggests that Knox is a good candidate location both for protection of existing licensed reserves and for development of new deposits in the future.</w:t>
      </w:r>
      <w:r>
        <w:br/>
      </w:r>
      <w:r>
        <w:br/>
      </w:r>
      <w:r w:rsidRPr="009D14D8">
        <w:rPr>
          <w:i/>
          <w:color w:val="A32020" w:themeColor="accent1"/>
        </w:rPr>
        <w:t xml:space="preserve">Key </w:t>
      </w:r>
      <w:r>
        <w:rPr>
          <w:i/>
          <w:color w:val="A32020" w:themeColor="accent1"/>
        </w:rPr>
        <w:t>demand</w:t>
      </w:r>
      <w:r w:rsidRPr="009D14D8">
        <w:rPr>
          <w:i/>
          <w:color w:val="A32020" w:themeColor="accent1"/>
        </w:rPr>
        <w:t xml:space="preserve"> destinations for </w:t>
      </w:r>
      <w:r>
        <w:rPr>
          <w:i/>
          <w:color w:val="A32020" w:themeColor="accent1"/>
        </w:rPr>
        <w:t>resources from Knox</w:t>
      </w:r>
      <w:r>
        <w:rPr>
          <w:i/>
          <w:color w:val="A32020" w:themeColor="accent1"/>
        </w:rPr>
        <w:br/>
      </w:r>
      <w:r>
        <w:rPr>
          <w:i/>
          <w:color w:val="A32020" w:themeColor="accent1"/>
        </w:rPr>
        <w:br/>
      </w:r>
      <w:r>
        <w:t xml:space="preserve">Given Knox is itself an urban location, it is very well positioned to satisfy urban demand. This is reflected in the mix of destinations to which Knox supplies in the analysis, with 91 per cent of supply remaining within Metropolitan Melbourne in 2050. </w:t>
      </w:r>
      <w:r w:rsidR="008775EA">
        <w:t xml:space="preserve">The majority of this demand (approximately 80 per cent) relates to residential and commercial construction. </w:t>
      </w:r>
      <w:r>
        <w:t xml:space="preserve">The remaining nine per cent </w:t>
      </w:r>
      <w:r w:rsidR="00077054">
        <w:t xml:space="preserve">of Knox’s 2050 supply </w:t>
      </w:r>
      <w:r>
        <w:t>is divided among regional LGAs throughout the State.</w:t>
      </w:r>
    </w:p>
    <w:p w:rsidR="00DA54C5" w:rsidRPr="00E7107D" w:rsidRDefault="00DA54C5" w:rsidP="00DA54C5">
      <w:pPr>
        <w:pStyle w:val="ChapterNumberedList1"/>
        <w:rPr>
          <w:b/>
        </w:rPr>
      </w:pPr>
      <w:r>
        <w:rPr>
          <w:b/>
        </w:rPr>
        <w:t>Cardinia</w:t>
      </w:r>
      <w:r>
        <w:rPr>
          <w:b/>
        </w:rPr>
        <w:br/>
      </w:r>
      <w:r>
        <w:rPr>
          <w:b/>
        </w:rPr>
        <w:br/>
      </w:r>
      <w:r>
        <w:t xml:space="preserve">Cardinia holds significant volumes of current and planned future licensed sand and gravel reserves. It is well positioned close to Melbourne meaning it can supply these resources at competitive costs to sites of strong demand in the city. </w:t>
      </w:r>
      <w:r w:rsidRPr="00E7107D">
        <w:t>Some</w:t>
      </w:r>
      <w:r>
        <w:t xml:space="preserve"> hard rock resources are also present, meaning Cardinia has strong productive potential to support Victoria’s future development.</w:t>
      </w:r>
      <w:r>
        <w:br/>
      </w:r>
      <w:r>
        <w:br/>
      </w:r>
      <w:r w:rsidRPr="009D14D8">
        <w:rPr>
          <w:i/>
          <w:color w:val="A32020" w:themeColor="accent1"/>
        </w:rPr>
        <w:t xml:space="preserve">Key </w:t>
      </w:r>
      <w:r>
        <w:rPr>
          <w:i/>
          <w:color w:val="A32020" w:themeColor="accent1"/>
        </w:rPr>
        <w:t>demand</w:t>
      </w:r>
      <w:r w:rsidRPr="009D14D8">
        <w:rPr>
          <w:i/>
          <w:color w:val="A32020" w:themeColor="accent1"/>
        </w:rPr>
        <w:t xml:space="preserve"> destinations for </w:t>
      </w:r>
      <w:r>
        <w:rPr>
          <w:i/>
          <w:color w:val="A32020" w:themeColor="accent1"/>
        </w:rPr>
        <w:t>Cardinia’s resources</w:t>
      </w:r>
      <w:r>
        <w:rPr>
          <w:i/>
          <w:color w:val="A32020" w:themeColor="accent1"/>
        </w:rPr>
        <w:br/>
      </w:r>
      <w:r>
        <w:rPr>
          <w:i/>
          <w:color w:val="A32020" w:themeColor="accent1"/>
        </w:rPr>
        <w:br/>
      </w:r>
      <w:r>
        <w:t>Like Knox, Cardinia lies within the Metropolitan Melbourne boundary and hence it is also well suited to meeting demand from the city. 85 per cent of 2050 supply from Cardinia is provided to locations around urban Melbourne</w:t>
      </w:r>
      <w:r w:rsidR="00077054">
        <w:t>, again satisfying in large part demand for residential and commercial construction</w:t>
      </w:r>
      <w:r>
        <w:t xml:space="preserve">. In terms </w:t>
      </w:r>
      <w:r w:rsidR="00F32B00">
        <w:t xml:space="preserve">of </w:t>
      </w:r>
      <w:r>
        <w:t>rural demand destinations, two per cent of Cardinia’s 2050 supply goes to each of Baw Baw and Mitchell and one per cent to each of Latrobe and Bass Coast, with other rural locations also featuring. Regional cities of Greater Geelong and Greater Bendigo also receive some supply from Cardinia in 2050.</w:t>
      </w:r>
    </w:p>
    <w:p w:rsidR="00DA54C5" w:rsidRDefault="00DA54C5" w:rsidP="00E060CE">
      <w:pPr>
        <w:pStyle w:val="Heading7"/>
      </w:pPr>
      <w:r>
        <w:t>South-West Victoria</w:t>
      </w:r>
    </w:p>
    <w:p w:rsidR="00F36505" w:rsidRDefault="000E722A" w:rsidP="00E060CE">
      <w:pPr>
        <w:pStyle w:val="PwCNormal"/>
        <w:tabs>
          <w:tab w:val="left" w:pos="0"/>
        </w:tabs>
      </w:pPr>
      <w:r>
        <w:t xml:space="preserve">The agglomeration of </w:t>
      </w:r>
      <w:r w:rsidR="00D03F54">
        <w:t>three LGAs (</w:t>
      </w:r>
      <w:r>
        <w:t>Glenelg, Moyne and Corangamite</w:t>
      </w:r>
      <w:r w:rsidR="00D03F54">
        <w:t>)</w:t>
      </w:r>
      <w:r>
        <w:t xml:space="preserve"> in the South West of Victoria </w:t>
      </w:r>
      <w:r w:rsidR="00D03F54">
        <w:t xml:space="preserve">comprises a significant limestone-producing region. This area delivers significant volumes of limestone both to Greater Melbourne and to regional locations in Victoria across the analysis period. </w:t>
      </w:r>
    </w:p>
    <w:p w:rsidR="00D03F54" w:rsidRDefault="00D03F54" w:rsidP="00E060CE">
      <w:pPr>
        <w:pStyle w:val="PwCNormal"/>
        <w:tabs>
          <w:tab w:val="left" w:pos="0"/>
        </w:tabs>
      </w:pPr>
      <w:r>
        <w:t>Compared to the top five locations discussed above which serve predominantly urban demand locations, this region supplies the majority of its material to regional areas. Large volumes of this area’s supply in 2050 go to regional cities such as Ballarat (16 per cent), Greater Geelong (14 per cent) and Warrnambool (10 per cent). Other regional destinations include Glenelg (six per cent of 2050 supply), Surf Coast (four per cent) and Southern Grampians (three per cent). In sum, urban locations receive 27 per cent of 2050 supply from these LGAs collectively, with regional locations receiving the remaining 73 per cent.</w:t>
      </w:r>
    </w:p>
    <w:p w:rsidR="00DA54C5" w:rsidRDefault="00753D8B" w:rsidP="00E060CE">
      <w:pPr>
        <w:pStyle w:val="Heading7"/>
      </w:pPr>
      <w:r>
        <w:t>Comparison to the current picture of extractive resource supply</w:t>
      </w:r>
    </w:p>
    <w:p w:rsidR="00270900" w:rsidRDefault="00391620" w:rsidP="00E060CE">
      <w:pPr>
        <w:pStyle w:val="PwCNormal"/>
        <w:tabs>
          <w:tab w:val="left" w:pos="0"/>
        </w:tabs>
      </w:pPr>
      <w:r>
        <w:t>So</w:t>
      </w:r>
      <w:r w:rsidR="00753D8B">
        <w:t xml:space="preserve">me of critical resource locations identified in </w:t>
      </w:r>
      <w:r w:rsidR="00753D8B">
        <w:fldChar w:fldCharType="begin"/>
      </w:r>
      <w:r w:rsidR="00753D8B">
        <w:instrText xml:space="preserve"> REF _Ref447718724 \h </w:instrText>
      </w:r>
      <w:r w:rsidR="00753D8B">
        <w:fldChar w:fldCharType="separate"/>
      </w:r>
      <w:r w:rsidR="00E22E13">
        <w:t xml:space="preserve">Figure </w:t>
      </w:r>
      <w:r w:rsidR="00E22E13">
        <w:rPr>
          <w:noProof/>
        </w:rPr>
        <w:t>27</w:t>
      </w:r>
      <w:r w:rsidR="00753D8B">
        <w:fldChar w:fldCharType="end"/>
      </w:r>
      <w:r w:rsidR="00753D8B">
        <w:t xml:space="preserve"> currently produce large volumes of extractive </w:t>
      </w:r>
      <w:r w:rsidR="00270900">
        <w:t>resources;</w:t>
      </w:r>
      <w:r w:rsidR="00753D8B">
        <w:t xml:space="preserve"> </w:t>
      </w:r>
      <w:r>
        <w:t xml:space="preserve">however </w:t>
      </w:r>
      <w:r w:rsidR="00753D8B">
        <w:t xml:space="preserve">several areas may not be recognised as strong producers of resources. Similarly, some areas currently known to industry as key locations of extractives production may not be identified as critical within the analysis. </w:t>
      </w:r>
    </w:p>
    <w:p w:rsidR="00F262C4" w:rsidRDefault="00F262C4" w:rsidP="00E060CE">
      <w:pPr>
        <w:pStyle w:val="PwCNormal"/>
        <w:tabs>
          <w:tab w:val="left" w:pos="0"/>
        </w:tabs>
      </w:pPr>
      <w:r>
        <w:t>T</w:t>
      </w:r>
      <w:r w:rsidR="00753D8B">
        <w:t>here are numerous complexities at play</w:t>
      </w:r>
      <w:r>
        <w:t xml:space="preserve"> here</w:t>
      </w:r>
      <w:r w:rsidR="00753D8B">
        <w:t xml:space="preserve">, </w:t>
      </w:r>
      <w:r>
        <w:t xml:space="preserve">however </w:t>
      </w:r>
      <w:r w:rsidR="00753D8B">
        <w:t xml:space="preserve">the key drivers of these results </w:t>
      </w:r>
      <w:r>
        <w:t xml:space="preserve">relate to industry intentions as provided to PwC through data gathering. For instance, areas currently producing relatively large volumes of resource include Hume and Wyndham. </w:t>
      </w:r>
      <w:r w:rsidR="00391620">
        <w:t xml:space="preserve">Industry intentions </w:t>
      </w:r>
      <w:r w:rsidR="00D25DD6">
        <w:t>with</w:t>
      </w:r>
      <w:r w:rsidR="00391620">
        <w:t xml:space="preserve"> respect </w:t>
      </w:r>
      <w:r w:rsidR="00D25DD6">
        <w:t>to</w:t>
      </w:r>
      <w:r w:rsidR="00391620">
        <w:t xml:space="preserve"> these locations have not revealed plans for significant ongoing</w:t>
      </w:r>
      <w:r>
        <w:t xml:space="preserve"> </w:t>
      </w:r>
      <w:r w:rsidR="00391620">
        <w:t xml:space="preserve">or expanded operations in these areas when compared with some other areas. Correspondingly the contribution that Hume and Wyndham make to the level of State supply may not be as great in the future as </w:t>
      </w:r>
      <w:r w:rsidR="00F32B00">
        <w:t>is currently the case</w:t>
      </w:r>
      <w:r w:rsidR="00391620">
        <w:t xml:space="preserve">. This means that these locations are considered less critical from a resource protection viewpoint relative to other areas where stronger </w:t>
      </w:r>
      <w:r w:rsidR="00F32B00">
        <w:t xml:space="preserve">future </w:t>
      </w:r>
      <w:r w:rsidR="00391620">
        <w:t xml:space="preserve">supply is anticipated.  </w:t>
      </w:r>
    </w:p>
    <w:p w:rsidR="00506A5E" w:rsidRDefault="00506A5E" w:rsidP="00A03F70">
      <w:pPr>
        <w:pStyle w:val="Heading6"/>
        <w:sectPr w:rsidR="00506A5E" w:rsidSect="001A7D05">
          <w:pgSz w:w="11907" w:h="16840" w:code="9"/>
          <w:pgMar w:top="1588" w:right="1843" w:bottom="1418" w:left="1843" w:header="567" w:footer="567" w:gutter="0"/>
          <w:cols w:space="227"/>
          <w:docGrid w:linePitch="360"/>
        </w:sectPr>
      </w:pPr>
    </w:p>
    <w:p w:rsidR="00A03F70" w:rsidRDefault="00A03F70" w:rsidP="00A03F70">
      <w:pPr>
        <w:pStyle w:val="Heading6"/>
      </w:pPr>
      <w:r>
        <w:t>Criterion 1: Threatened rock types</w:t>
      </w:r>
    </w:p>
    <w:p w:rsidR="00A03F70" w:rsidRDefault="00A03F70" w:rsidP="00A03F70">
      <w:pPr>
        <w:pStyle w:val="PwCNormal"/>
      </w:pPr>
      <w:r>
        <w:t>The assess</w:t>
      </w:r>
      <w:r w:rsidR="00916022">
        <w:t>ment presented under Criterion 1</w:t>
      </w:r>
      <w:r>
        <w:t xml:space="preserve"> </w:t>
      </w:r>
      <w:r w:rsidR="00136A32">
        <w:t>provides a State level view fo</w:t>
      </w:r>
      <w:r w:rsidR="00B410A7">
        <w:t>r</w:t>
      </w:r>
      <w:r w:rsidR="00136A32">
        <w:t xml:space="preserve"> threatened rock types, </w:t>
      </w:r>
      <w:r>
        <w:t>map</w:t>
      </w:r>
      <w:r w:rsidR="00136A32">
        <w:t>ped by</w:t>
      </w:r>
      <w:r>
        <w:t xml:space="preserve"> the depletion of each considered resource through time</w:t>
      </w:r>
      <w:r w:rsidR="00136A32">
        <w:t>. This provides</w:t>
      </w:r>
      <w:r>
        <w:t xml:space="preserve"> an indication of how quickly known supplies of these rocks are utilised.</w:t>
      </w:r>
    </w:p>
    <w:p w:rsidR="00A03F70" w:rsidRDefault="00A03F70" w:rsidP="00A03F70">
      <w:pPr>
        <w:pStyle w:val="PwCNormal"/>
      </w:pPr>
      <w:r>
        <w:t xml:space="preserve">Identified threatened rock types include hornfels and clay and clay shale. These rock types are expected to experience significant depletion across the analysis period such that few years of supply remain after 2050. </w:t>
      </w:r>
    </w:p>
    <w:p w:rsidR="00A03F70" w:rsidRDefault="00A03F70" w:rsidP="00A03F70">
      <w:pPr>
        <w:pStyle w:val="PwCNormal"/>
      </w:pPr>
      <w:r>
        <w:t xml:space="preserve">Each of the other rock types considered in the analysis has sufficient reserves within existing and planned future licensed WAs (based on industry intentions at 2015) to support ongoing future demand beyond 2050. These findings are reflected in </w:t>
      </w:r>
      <w:r>
        <w:fldChar w:fldCharType="begin"/>
      </w:r>
      <w:r>
        <w:instrText xml:space="preserve"> REF _Ref447782679 \h </w:instrText>
      </w:r>
      <w:r>
        <w:fldChar w:fldCharType="separate"/>
      </w:r>
      <w:r w:rsidR="00E22E13">
        <w:t xml:space="preserve">Table </w:t>
      </w:r>
      <w:r w:rsidR="00E22E13">
        <w:rPr>
          <w:noProof/>
        </w:rPr>
        <w:t>8</w:t>
      </w:r>
      <w:r>
        <w:fldChar w:fldCharType="end"/>
      </w:r>
      <w:r>
        <w:t>.</w:t>
      </w:r>
      <w:r>
        <w:rPr>
          <w:rStyle w:val="FootnoteReference"/>
        </w:rPr>
        <w:footnoteReference w:id="21"/>
      </w:r>
      <w:r>
        <w:t xml:space="preserve"> </w:t>
      </w:r>
    </w:p>
    <w:p w:rsidR="00A03F70" w:rsidRDefault="00A03F70" w:rsidP="00A03F70">
      <w:pPr>
        <w:pStyle w:val="BlockText2Position"/>
      </w:pPr>
      <w:r w:rsidRPr="00E7107D">
        <w:rPr>
          <w:b/>
          <w:i/>
        </w:rPr>
        <w:t>Threatened rock types</w:t>
      </w:r>
      <w:r>
        <w:t xml:space="preserve"> are those extractive resources that are anticipated to be in short supply by the end of the analysis period, based on industry intentions at 2015</w:t>
      </w:r>
      <w:r w:rsidR="00136A32">
        <w:t>, at a State level</w:t>
      </w:r>
      <w:r>
        <w:t xml:space="preserve">. </w:t>
      </w:r>
    </w:p>
    <w:p w:rsidR="00A03F70" w:rsidRDefault="00A03F70" w:rsidP="00A03F70">
      <w:pPr>
        <w:pStyle w:val="Heading7"/>
      </w:pPr>
      <w:bookmarkStart w:id="196" w:name="_Ref447715393"/>
      <w:r>
        <w:t>Hornfels</w:t>
      </w:r>
      <w:bookmarkEnd w:id="196"/>
    </w:p>
    <w:p w:rsidR="00A03F70" w:rsidRDefault="00A03F70" w:rsidP="00A03F70">
      <w:pPr>
        <w:pStyle w:val="PwCNormal"/>
      </w:pPr>
      <w:r>
        <w:t xml:space="preserve">The depletion profile for hornfels is mapped below, which shows the level of reserves held in current and planned future WAs in the State through time. The uplift in hornfels reserves in 2026 as shown in </w:t>
      </w:r>
      <w:r w:rsidR="00FE20D0">
        <w:fldChar w:fldCharType="begin"/>
      </w:r>
      <w:r w:rsidR="00FE20D0">
        <w:instrText xml:space="preserve"> REF _Ref451159327 \h </w:instrText>
      </w:r>
      <w:r w:rsidR="00FE20D0">
        <w:fldChar w:fldCharType="separate"/>
      </w:r>
      <w:r w:rsidR="00E22E13">
        <w:t xml:space="preserve">Figure </w:t>
      </w:r>
      <w:r w:rsidR="00E22E13">
        <w:rPr>
          <w:noProof/>
        </w:rPr>
        <w:t>28</w:t>
      </w:r>
      <w:r w:rsidR="00FE20D0">
        <w:fldChar w:fldCharType="end"/>
      </w:r>
      <w:r>
        <w:t xml:space="preserve"> is due to new resource reserves being licensed and commencing production in that year, as indicated in the supply data gathering.</w:t>
      </w:r>
    </w:p>
    <w:p w:rsidR="00A03F70" w:rsidRDefault="00A03F70" w:rsidP="00417D11">
      <w:pPr>
        <w:pStyle w:val="Caption"/>
      </w:pPr>
      <w:bookmarkStart w:id="197" w:name="_Ref451159327"/>
      <w:r>
        <w:t xml:space="preserve">Figure </w:t>
      </w:r>
      <w:fldSimple w:instr=" SEQ Figure \* ARABIC ">
        <w:r w:rsidR="00E22E13">
          <w:rPr>
            <w:noProof/>
          </w:rPr>
          <w:t>28</w:t>
        </w:r>
      </w:fldSimple>
      <w:bookmarkEnd w:id="197"/>
      <w:r>
        <w:t xml:space="preserve">: </w:t>
      </w:r>
      <w:r w:rsidRPr="00A370A9">
        <w:t>Hornfels depletion profile 2015</w:t>
      </w:r>
      <w:r w:rsidR="006925D6">
        <w:t xml:space="preserve"> to 20</w:t>
      </w:r>
      <w:r w:rsidRPr="00A370A9">
        <w:t>50 (million tonnes)</w:t>
      </w:r>
    </w:p>
    <w:p w:rsidR="00A03F70" w:rsidRDefault="00A03F70" w:rsidP="006916CE">
      <w:pPr>
        <w:pStyle w:val="PwCNormal"/>
        <w:keepNext/>
        <w:rPr>
          <w:highlight w:val="yellow"/>
        </w:rPr>
      </w:pPr>
      <w:r w:rsidRPr="00B53CBB">
        <w:rPr>
          <w:noProof/>
          <w:snapToGrid/>
          <w:lang w:eastAsia="en-AU"/>
        </w:rPr>
        <w:t xml:space="preserve"> </w:t>
      </w:r>
      <w:r>
        <w:rPr>
          <w:noProof/>
          <w:snapToGrid/>
          <w:lang w:eastAsia="en-AU"/>
        </w:rPr>
        <w:drawing>
          <wp:inline distT="0" distB="0" distL="0" distR="0" wp14:anchorId="0D846759" wp14:editId="2B7D806C">
            <wp:extent cx="5220335" cy="2930303"/>
            <wp:effectExtent l="0" t="0" r="0" b="3810"/>
            <wp:docPr id="15413" name="Picture 15413" descr="Figure 28 shows the hornfels depletion profile between 2015 and 2050. It shows hornfels availability falling from over 200 million tonnes in 2015 to around 40 million tonnes in 2050. " title="Figur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20335" cy="2930303"/>
                    </a:xfrm>
                    <a:prstGeom prst="rect">
                      <a:avLst/>
                    </a:prstGeom>
                  </pic:spPr>
                </pic:pic>
              </a:graphicData>
            </a:graphic>
          </wp:inline>
        </w:drawing>
      </w:r>
    </w:p>
    <w:p w:rsidR="00A03F70" w:rsidRDefault="00A03F70" w:rsidP="006916CE">
      <w:pPr>
        <w:pStyle w:val="Sources"/>
        <w:keepNext/>
      </w:pPr>
      <w:r w:rsidRPr="0089081A">
        <w:t>Source: PwC analysis</w:t>
      </w:r>
    </w:p>
    <w:p w:rsidR="00A03F70" w:rsidRDefault="00A03F70" w:rsidP="00A03F70">
      <w:pPr>
        <w:pStyle w:val="PwCNormal"/>
      </w:pPr>
      <w:r>
        <w:t xml:space="preserve">As relatively few hornfels quarries are currently licensed in Victoria, the analysis is not able to reveal which hornfels locations are more important than others in terms of their potential future supply. Some context is provided however by presenting the locations of currently licensed hornfels quarries; these are mapped in </w:t>
      </w:r>
      <w:r>
        <w:fldChar w:fldCharType="begin"/>
      </w:r>
      <w:r>
        <w:instrText xml:space="preserve"> REF _Ref447710403 \h </w:instrText>
      </w:r>
      <w:r>
        <w:fldChar w:fldCharType="separate"/>
      </w:r>
      <w:r w:rsidR="00E22E13">
        <w:t xml:space="preserve">Figure </w:t>
      </w:r>
      <w:r w:rsidR="00E22E13">
        <w:rPr>
          <w:noProof/>
        </w:rPr>
        <w:t>29</w:t>
      </w:r>
      <w:r>
        <w:fldChar w:fldCharType="end"/>
      </w:r>
      <w:r>
        <w:t>.</w:t>
      </w:r>
    </w:p>
    <w:p w:rsidR="00A03F70" w:rsidRDefault="00A03F70" w:rsidP="00A03F70">
      <w:pPr>
        <w:pStyle w:val="PwCNormal"/>
      </w:pPr>
      <w:r>
        <w:t>For some quarry products, substitutes for hornfels exist. Industry data gathering undertaken in this analysis suggests that products formed by hornfels include fill, road base and road sub-base. It is noted that these products were also reported to be comprised of other rock types including granite, basalt old, basalt new, scoria and tuff, which suggests that some level of substitution is possible between these hard rock types.</w:t>
      </w:r>
    </w:p>
    <w:p w:rsidR="00153E14" w:rsidRDefault="00D3323C" w:rsidP="00A03F70">
      <w:pPr>
        <w:pStyle w:val="PwCNormal"/>
        <w:sectPr w:rsidR="00153E14" w:rsidSect="001A7D05">
          <w:pgSz w:w="11907" w:h="16840" w:code="9"/>
          <w:pgMar w:top="1588" w:right="1843" w:bottom="1418" w:left="1843" w:header="567" w:footer="567" w:gutter="0"/>
          <w:cols w:space="227"/>
          <w:docGrid w:linePitch="360"/>
        </w:sectPr>
      </w:pPr>
      <w:r>
        <w:t>T</w:t>
      </w:r>
      <w:r w:rsidR="00947B51">
        <w:t xml:space="preserve">he local availability of raw materials that meet specification requirements is a strong driver of whether substitute materials for hornfels may be used. </w:t>
      </w:r>
      <w:r>
        <w:t xml:space="preserve">A more detailed </w:t>
      </w:r>
      <w:r w:rsidR="00DD2D91">
        <w:t xml:space="preserve">analysis of </w:t>
      </w:r>
      <w:r>
        <w:t xml:space="preserve">resource grades would potentially </w:t>
      </w:r>
      <w:r w:rsidR="00947B51">
        <w:t>capture these regional specificities of technical requirements</w:t>
      </w:r>
      <w:r>
        <w:t xml:space="preserve">; </w:t>
      </w:r>
      <w:r w:rsidR="00EB61D4" w:rsidRPr="00EB61D4">
        <w:t>however, this analysis has not been considered in this study</w:t>
      </w:r>
      <w:r w:rsidR="00947B51">
        <w:t xml:space="preserve">. </w:t>
      </w:r>
    </w:p>
    <w:p w:rsidR="00A03F70" w:rsidRDefault="00A03F70" w:rsidP="00A03F70">
      <w:pPr>
        <w:pStyle w:val="Caption"/>
      </w:pPr>
      <w:bookmarkStart w:id="198" w:name="_Ref447710403"/>
      <w:r>
        <w:t xml:space="preserve">Figure </w:t>
      </w:r>
      <w:fldSimple w:instr=" SEQ Figure \* ARABIC ">
        <w:r w:rsidR="00E22E13">
          <w:rPr>
            <w:noProof/>
          </w:rPr>
          <w:t>29</w:t>
        </w:r>
      </w:fldSimple>
      <w:bookmarkEnd w:id="198"/>
      <w:r>
        <w:t>: Locations of hornfels WAs</w:t>
      </w:r>
      <w:r w:rsidR="00D155A9">
        <w:t>, 2014</w:t>
      </w:r>
    </w:p>
    <w:p w:rsidR="00A03F70" w:rsidRDefault="00A03F70" w:rsidP="00A03F70">
      <w:pPr>
        <w:pStyle w:val="Sources"/>
        <w:sectPr w:rsidR="00A03F70" w:rsidSect="001A7D05">
          <w:pgSz w:w="16840" w:h="11907" w:orient="landscape" w:code="9"/>
          <w:pgMar w:top="1843" w:right="1588" w:bottom="1843" w:left="1418" w:header="567" w:footer="567" w:gutter="0"/>
          <w:cols w:space="227"/>
          <w:docGrid w:linePitch="360"/>
        </w:sectPr>
      </w:pPr>
      <w:r>
        <w:rPr>
          <w:noProof/>
          <w:snapToGrid/>
          <w:lang w:eastAsia="en-AU"/>
        </w:rPr>
        <w:drawing>
          <wp:inline distT="0" distB="0" distL="0" distR="0" wp14:anchorId="08B486D4" wp14:editId="10A53375">
            <wp:extent cx="6889072" cy="4850319"/>
            <wp:effectExtent l="0" t="0" r="7620" b="7620"/>
            <wp:docPr id="319" name="Picture 319" descr="Figure 29 shows a map of Victoria highlighting each of the LGAs containing hornfels WAs. There are 11 LGAs. " title="Figur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889072" cy="4850319"/>
                    </a:xfrm>
                    <a:prstGeom prst="rect">
                      <a:avLst/>
                    </a:prstGeom>
                  </pic:spPr>
                </pic:pic>
              </a:graphicData>
            </a:graphic>
          </wp:inline>
        </w:drawing>
      </w:r>
      <w:r>
        <w:br/>
        <w:t xml:space="preserve">Source: PwC’s GEM, DEDJTR records. </w:t>
      </w:r>
    </w:p>
    <w:p w:rsidR="00A03F70" w:rsidRPr="0043136D" w:rsidRDefault="00A03F70" w:rsidP="00A03F70">
      <w:pPr>
        <w:pStyle w:val="Heading7"/>
      </w:pPr>
      <w:r>
        <w:t>Clay and clay shale</w:t>
      </w:r>
    </w:p>
    <w:p w:rsidR="00A03F70" w:rsidRDefault="00A03F70" w:rsidP="00A03F70">
      <w:pPr>
        <w:pStyle w:val="PwCNormal"/>
      </w:pPr>
      <w:r>
        <w:t xml:space="preserve">The depletion profile for clay and clay shale in Victoria is detailed in </w:t>
      </w:r>
      <w:r>
        <w:fldChar w:fldCharType="begin"/>
      </w:r>
      <w:r>
        <w:instrText xml:space="preserve"> REF _Ref447710598 \h </w:instrText>
      </w:r>
      <w:r>
        <w:fldChar w:fldCharType="separate"/>
      </w:r>
      <w:r w:rsidR="00E22E13">
        <w:t xml:space="preserve">Figure </w:t>
      </w:r>
      <w:r w:rsidR="00E22E13">
        <w:rPr>
          <w:noProof/>
        </w:rPr>
        <w:t>30</w:t>
      </w:r>
      <w:r>
        <w:fldChar w:fldCharType="end"/>
      </w:r>
      <w:r>
        <w:t xml:space="preserve"> below,</w:t>
      </w:r>
      <w:r w:rsidRPr="008E4FB5">
        <w:t xml:space="preserve"> </w:t>
      </w:r>
      <w:r>
        <w:t>which shows the level of reserves held in current and planned future WAs in the State through time. The kink in the chart represents new resources being licensed as indicated in the supply data gathering.</w:t>
      </w:r>
    </w:p>
    <w:p w:rsidR="00A03F70" w:rsidRDefault="00A03F70" w:rsidP="00A03F70">
      <w:pPr>
        <w:pStyle w:val="Caption"/>
      </w:pPr>
      <w:bookmarkStart w:id="199" w:name="_Ref447710598"/>
      <w:r>
        <w:t xml:space="preserve">Figure </w:t>
      </w:r>
      <w:fldSimple w:instr=" SEQ Figure \* ARABIC ">
        <w:r w:rsidR="00E22E13">
          <w:rPr>
            <w:noProof/>
          </w:rPr>
          <w:t>30</w:t>
        </w:r>
      </w:fldSimple>
      <w:bookmarkEnd w:id="199"/>
      <w:r>
        <w:t xml:space="preserve">: </w:t>
      </w:r>
      <w:r w:rsidRPr="00112159">
        <w:t>Clay and clay shale depletion profile 2015</w:t>
      </w:r>
      <w:r w:rsidR="008C098D">
        <w:t xml:space="preserve"> to 20</w:t>
      </w:r>
      <w:r w:rsidRPr="00112159">
        <w:t>50 (million tonnes)</w:t>
      </w:r>
    </w:p>
    <w:p w:rsidR="00A03F70" w:rsidRDefault="00A03F70" w:rsidP="00A03F70">
      <w:pPr>
        <w:pStyle w:val="PwCNormal"/>
        <w:rPr>
          <w:highlight w:val="yellow"/>
        </w:rPr>
      </w:pPr>
      <w:r w:rsidRPr="008E4FB5">
        <w:rPr>
          <w:noProof/>
          <w:snapToGrid/>
          <w:lang w:eastAsia="en-AU"/>
        </w:rPr>
        <w:t xml:space="preserve"> </w:t>
      </w:r>
      <w:r>
        <w:rPr>
          <w:noProof/>
          <w:snapToGrid/>
          <w:lang w:eastAsia="en-AU"/>
        </w:rPr>
        <w:drawing>
          <wp:inline distT="0" distB="0" distL="0" distR="0" wp14:anchorId="2CB3CB13" wp14:editId="08825AE4">
            <wp:extent cx="5220335" cy="2944804"/>
            <wp:effectExtent l="0" t="0" r="0" b="8255"/>
            <wp:docPr id="15418" name="Picture 15418" descr="Figure 30 shows the clay and clay shale depletion profile between 2015 and 2050.  It shows clay and clay shale falling from around 35 million tonnes in 2050 to around 6 million tonnes in 2050. "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20335" cy="2944804"/>
                    </a:xfrm>
                    <a:prstGeom prst="rect">
                      <a:avLst/>
                    </a:prstGeom>
                  </pic:spPr>
                </pic:pic>
              </a:graphicData>
            </a:graphic>
          </wp:inline>
        </w:drawing>
      </w:r>
    </w:p>
    <w:p w:rsidR="00A03F70" w:rsidRDefault="00A03F70" w:rsidP="00A03F70">
      <w:pPr>
        <w:pStyle w:val="Sources"/>
      </w:pPr>
      <w:r w:rsidRPr="00E00C9D">
        <w:t>Source: PwC analysis</w:t>
      </w:r>
    </w:p>
    <w:p w:rsidR="00A03F70" w:rsidRDefault="00A03F70" w:rsidP="00A03F70">
      <w:pPr>
        <w:pStyle w:val="PwCNormal"/>
      </w:pPr>
      <w:r>
        <w:t xml:space="preserve">Discussion of the critical locations for clay and clay shale resources is provided </w:t>
      </w:r>
      <w:r w:rsidR="00916022">
        <w:t>under Criterion 2</w:t>
      </w:r>
      <w:r>
        <w:t xml:space="preserve">. The locations of currently licensed clay WAs in Victoria are mapped below in </w:t>
      </w:r>
      <w:r>
        <w:fldChar w:fldCharType="begin"/>
      </w:r>
      <w:r>
        <w:instrText xml:space="preserve"> REF _Ref447714137 \h </w:instrText>
      </w:r>
      <w:r>
        <w:fldChar w:fldCharType="separate"/>
      </w:r>
      <w:r w:rsidR="00E22E13">
        <w:t xml:space="preserve">Figure </w:t>
      </w:r>
      <w:r w:rsidR="00E22E13">
        <w:rPr>
          <w:noProof/>
        </w:rPr>
        <w:t>31</w:t>
      </w:r>
      <w:r>
        <w:fldChar w:fldCharType="end"/>
      </w:r>
      <w:r>
        <w:t xml:space="preserve">. </w:t>
      </w:r>
    </w:p>
    <w:p w:rsidR="00A03F70" w:rsidRDefault="00A03F70" w:rsidP="00A03F70">
      <w:pPr>
        <w:pStyle w:val="PwCNormal"/>
        <w:sectPr w:rsidR="00A03F70" w:rsidSect="001A7D05">
          <w:pgSz w:w="11907" w:h="16840" w:code="9"/>
          <w:pgMar w:top="1588" w:right="1843" w:bottom="1418" w:left="1843" w:header="567" w:footer="567" w:gutter="0"/>
          <w:cols w:space="227"/>
          <w:docGrid w:linePitch="360"/>
        </w:sectPr>
      </w:pPr>
    </w:p>
    <w:p w:rsidR="00A03F70" w:rsidRDefault="00A03F70" w:rsidP="00A03F70">
      <w:pPr>
        <w:pStyle w:val="Caption"/>
      </w:pPr>
      <w:bookmarkStart w:id="200" w:name="_Ref447714137"/>
      <w:r>
        <w:t xml:space="preserve">Figure </w:t>
      </w:r>
      <w:fldSimple w:instr=" SEQ Figure \* ARABIC ">
        <w:r w:rsidR="00E22E13">
          <w:rPr>
            <w:noProof/>
          </w:rPr>
          <w:t>31</w:t>
        </w:r>
      </w:fldSimple>
      <w:bookmarkEnd w:id="200"/>
      <w:r>
        <w:t>: Locations of clay and clay shale WAs</w:t>
      </w:r>
      <w:r w:rsidR="00D155A9">
        <w:t>, 2014</w:t>
      </w:r>
    </w:p>
    <w:p w:rsidR="00A03F70" w:rsidRDefault="00A03F70" w:rsidP="006916CE">
      <w:pPr>
        <w:pStyle w:val="Sources"/>
      </w:pPr>
      <w:r>
        <w:rPr>
          <w:noProof/>
          <w:snapToGrid/>
          <w:lang w:eastAsia="en-AU"/>
        </w:rPr>
        <w:drawing>
          <wp:inline distT="0" distB="0" distL="0" distR="0" wp14:anchorId="0BE59F25" wp14:editId="0316F868">
            <wp:extent cx="6711518" cy="4803467"/>
            <wp:effectExtent l="0" t="0" r="0" b="0"/>
            <wp:docPr id="120" name="Picture 120" descr="Figure 31 shows a map of Victoria highlighting each of the LGAs containing clay and clay shale WAs. There are 22 LGAs. "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12820" cy="4804399"/>
                    </a:xfrm>
                    <a:prstGeom prst="rect">
                      <a:avLst/>
                    </a:prstGeom>
                  </pic:spPr>
                </pic:pic>
              </a:graphicData>
            </a:graphic>
          </wp:inline>
        </w:drawing>
      </w:r>
      <w:r w:rsidRPr="0012174F">
        <w:t xml:space="preserve"> </w:t>
      </w:r>
      <w:r>
        <w:br/>
        <w:t>Source: PwC’s GEM, DEDJTR records.</w:t>
      </w:r>
    </w:p>
    <w:p w:rsidR="00265E4D" w:rsidRDefault="00265E4D" w:rsidP="00A03F70">
      <w:pPr>
        <w:pStyle w:val="Heading6"/>
        <w:sectPr w:rsidR="00265E4D" w:rsidSect="001A7D05">
          <w:pgSz w:w="16840" w:h="11907" w:orient="landscape" w:code="9"/>
          <w:pgMar w:top="1843" w:right="1588" w:bottom="1843" w:left="1418" w:header="567" w:footer="567" w:gutter="0"/>
          <w:cols w:space="227"/>
          <w:docGrid w:linePitch="360"/>
        </w:sectPr>
      </w:pPr>
    </w:p>
    <w:p w:rsidR="00265E4D" w:rsidRDefault="00265E4D" w:rsidP="00265E4D">
      <w:pPr>
        <w:pStyle w:val="Heading6"/>
      </w:pPr>
      <w:r>
        <w:t>Criterion 2: Resource depletion - Locations where supply is unable to meet demand due to exhaustion of reserves</w:t>
      </w:r>
    </w:p>
    <w:p w:rsidR="00265E4D" w:rsidRDefault="00265E4D" w:rsidP="00265E4D">
      <w:pPr>
        <w:pStyle w:val="Heading7"/>
      </w:pPr>
      <w:r>
        <w:t>Identified resource depletion locations</w:t>
      </w:r>
    </w:p>
    <w:p w:rsidR="00265E4D" w:rsidRDefault="00265E4D" w:rsidP="00265E4D">
      <w:pPr>
        <w:pStyle w:val="PwCNormal"/>
      </w:pPr>
      <w:r>
        <w:t>The following Victorian locations are identified on the basis that they are subject to significant exhaustion of current and planned future licensed reserves across the analysis period. The high exhaustion rate occurring in these locations indicates that they receive high levels of allocated demand</w:t>
      </w:r>
      <w:r w:rsidR="00295884">
        <w:t xml:space="preserve"> from localities in relative proximity (both within the LGA and in other LGAs)</w:t>
      </w:r>
      <w:r>
        <w:t xml:space="preserve">, which </w:t>
      </w:r>
      <w:r w:rsidR="00417D11">
        <w:t>suggests</w:t>
      </w:r>
      <w:r>
        <w:t xml:space="preserve"> that they </w:t>
      </w:r>
      <w:r w:rsidR="00417D11">
        <w:t>could be well-</w:t>
      </w:r>
      <w:r>
        <w:t xml:space="preserve">suited geographically to delivering extractive resources </w:t>
      </w:r>
      <w:r w:rsidR="00F32B00">
        <w:t xml:space="preserve">to </w:t>
      </w:r>
      <w:r>
        <w:t xml:space="preserve">support Victoria’s development.  </w:t>
      </w:r>
    </w:p>
    <w:p w:rsidR="00265E4D" w:rsidRDefault="00265E4D" w:rsidP="00265E4D">
      <w:pPr>
        <w:pStyle w:val="PwCNormal"/>
      </w:pPr>
      <w:r>
        <w:t>Given this, resource locations identified under Criterion 2 are considered to represent good candidates for development of new WAs in the future.</w:t>
      </w:r>
    </w:p>
    <w:p w:rsidR="00265E4D" w:rsidRDefault="00265E4D" w:rsidP="00265E4D">
      <w:pPr>
        <w:pStyle w:val="PwCNormal"/>
      </w:pPr>
      <w:r>
        <w:t>Criterion 2 considers which current and future planned WAs could experience exhaustion of their licensed reserves within the 2015</w:t>
      </w:r>
      <w:r w:rsidR="008C098D">
        <w:t xml:space="preserve"> to 20</w:t>
      </w:r>
      <w:r>
        <w:t xml:space="preserve">50 analysis period. For confidentiality reasons </w:t>
      </w:r>
      <w:r w:rsidR="00295884">
        <w:t xml:space="preserve">WAs </w:t>
      </w:r>
      <w:r>
        <w:t>are then grouped together by region and resource type to understand which Victorian resource locations could experience the greatest level of exhaustion of current and future planned WA reserves.</w:t>
      </w:r>
    </w:p>
    <w:p w:rsidR="00265E4D" w:rsidRDefault="00265E4D" w:rsidP="00265E4D">
      <w:pPr>
        <w:pStyle w:val="PwCNormal"/>
      </w:pPr>
      <w:r>
        <w:t xml:space="preserve">Criterion 2 is measured for four rock categories: hard rock, sand and gravel, limestone and clay and clay shale. The level of resource exhaustion is measured by the difference between allocated demand for a resource location and its production volume, which is referred to as the production shortfall. Locations with the greatest production shortfall are those which, due to exhaustion of current and planned future reserves, are unable to meet their level of allocated demand. </w:t>
      </w:r>
    </w:p>
    <w:p w:rsidR="00265E4D" w:rsidRDefault="00265E4D" w:rsidP="00265E4D">
      <w:pPr>
        <w:pStyle w:val="BlockText2Position"/>
        <w:sectPr w:rsidR="00265E4D" w:rsidSect="001A7D05">
          <w:pgSz w:w="11907" w:h="16840" w:code="9"/>
          <w:pgMar w:top="1588" w:right="1843" w:bottom="1418" w:left="1843" w:header="567" w:footer="567" w:gutter="0"/>
          <w:cols w:space="227"/>
          <w:docGrid w:linePitch="360"/>
        </w:sectPr>
      </w:pPr>
      <w:r w:rsidRPr="00E7107D">
        <w:rPr>
          <w:b/>
          <w:i/>
        </w:rPr>
        <w:t>Key resource depletion locations</w:t>
      </w:r>
      <w:r>
        <w:t xml:space="preserve"> represent those areas where a significant proportion of the reserves of existing and planned future quarries are exhausted for particular rock types</w:t>
      </w:r>
      <w:r w:rsidR="0012177B">
        <w:t xml:space="preserve"> in a given year. </w:t>
      </w:r>
    </w:p>
    <w:p w:rsidR="00265E4D" w:rsidRDefault="00265E4D" w:rsidP="00265E4D">
      <w:pPr>
        <w:pStyle w:val="Heading7"/>
      </w:pPr>
      <w:r>
        <w:t>Hard rock</w:t>
      </w:r>
    </w:p>
    <w:p w:rsidR="00265E4D" w:rsidRPr="00E7107D" w:rsidRDefault="00265E4D" w:rsidP="00265E4D">
      <w:pPr>
        <w:pStyle w:val="PwCNormal"/>
        <w:rPr>
          <w:i/>
          <w:snapToGrid/>
        </w:rPr>
      </w:pPr>
      <w:r w:rsidRPr="00E7107D">
        <w:rPr>
          <w:rStyle w:val="PwCNormalChar"/>
        </w:rPr>
        <w:fldChar w:fldCharType="begin"/>
      </w:r>
      <w:r w:rsidRPr="00E7107D">
        <w:rPr>
          <w:rStyle w:val="PwCNormalChar"/>
        </w:rPr>
        <w:instrText xml:space="preserve"> REF _Ref448146962 \h </w:instrText>
      </w:r>
      <w:r w:rsidRPr="00E7107D">
        <w:rPr>
          <w:rStyle w:val="PwCNormalChar"/>
        </w:rPr>
      </w:r>
      <w:r w:rsidRPr="00E7107D">
        <w:rPr>
          <w:rStyle w:val="PwCNormalChar"/>
        </w:rPr>
        <w:fldChar w:fldCharType="separate"/>
      </w:r>
      <w:r w:rsidR="00E22E13">
        <w:t xml:space="preserve">Table </w:t>
      </w:r>
      <w:r w:rsidR="00E22E13">
        <w:rPr>
          <w:noProof/>
        </w:rPr>
        <w:t>10</w:t>
      </w:r>
      <w:r w:rsidRPr="00E7107D">
        <w:rPr>
          <w:rStyle w:val="PwCNormalChar"/>
        </w:rPr>
        <w:fldChar w:fldCharType="end"/>
      </w:r>
      <w:r>
        <w:rPr>
          <w:rStyle w:val="PwCNormalChar"/>
        </w:rPr>
        <w:t xml:space="preserve"> lists those locations expected to experience significant exhaustion of current and future planned WA reserves across the period 2015</w:t>
      </w:r>
      <w:r w:rsidR="008C098D">
        <w:rPr>
          <w:rStyle w:val="PwCNormalChar"/>
        </w:rPr>
        <w:t xml:space="preserve"> to 20</w:t>
      </w:r>
      <w:r>
        <w:rPr>
          <w:rStyle w:val="PwCNormalChar"/>
        </w:rPr>
        <w:t xml:space="preserve">50. These locations are mapped in </w:t>
      </w:r>
      <w:r>
        <w:rPr>
          <w:rStyle w:val="PwCNormalChar"/>
        </w:rPr>
        <w:fldChar w:fldCharType="begin"/>
      </w:r>
      <w:r>
        <w:rPr>
          <w:rStyle w:val="PwCNormalChar"/>
        </w:rPr>
        <w:instrText xml:space="preserve"> REF _Ref448147326 \h </w:instrText>
      </w:r>
      <w:r>
        <w:rPr>
          <w:rStyle w:val="PwCNormalChar"/>
        </w:rPr>
      </w:r>
      <w:r>
        <w:rPr>
          <w:rStyle w:val="PwCNormalChar"/>
        </w:rPr>
        <w:fldChar w:fldCharType="separate"/>
      </w:r>
      <w:r w:rsidR="00E22E13">
        <w:t xml:space="preserve">Figure </w:t>
      </w:r>
      <w:r w:rsidR="00E22E13">
        <w:rPr>
          <w:noProof/>
        </w:rPr>
        <w:t>32</w:t>
      </w:r>
      <w:r>
        <w:rPr>
          <w:rStyle w:val="PwCNormalChar"/>
        </w:rPr>
        <w:fldChar w:fldCharType="end"/>
      </w:r>
      <w:r>
        <w:rPr>
          <w:rStyle w:val="PwCNormalChar"/>
        </w:rPr>
        <w:t xml:space="preserve">. </w:t>
      </w:r>
    </w:p>
    <w:p w:rsidR="00265E4D" w:rsidRDefault="00265E4D" w:rsidP="00265E4D">
      <w:pPr>
        <w:pStyle w:val="Caption"/>
      </w:pPr>
      <w:bookmarkStart w:id="201" w:name="_Ref448146962"/>
      <w:r>
        <w:t xml:space="preserve">Table </w:t>
      </w:r>
      <w:fldSimple w:instr=" SEQ Table \* ARABIC ">
        <w:r w:rsidR="00E22E13">
          <w:rPr>
            <w:noProof/>
          </w:rPr>
          <w:t>10</w:t>
        </w:r>
      </w:fldSimple>
      <w:bookmarkEnd w:id="201"/>
      <w:r>
        <w:t xml:space="preserve">: </w:t>
      </w:r>
      <w:r w:rsidRPr="00BE63BF">
        <w:t>Key resource depletion locations – Hard rock, cumulative potential production shortfall 2015</w:t>
      </w:r>
      <w:r w:rsidR="008C098D">
        <w:t xml:space="preserve"> to </w:t>
      </w:r>
      <w:r w:rsidRPr="00BE63BF">
        <w:t>2050</w:t>
      </w:r>
    </w:p>
    <w:tbl>
      <w:tblPr>
        <w:tblStyle w:val="Tables-APBase"/>
        <w:tblW w:w="4853" w:type="pct"/>
        <w:tblLayout w:type="fixed"/>
        <w:tblLook w:val="04A0" w:firstRow="1" w:lastRow="0" w:firstColumn="1" w:lastColumn="0" w:noHBand="0" w:noVBand="1"/>
        <w:tblCaption w:val="Table 10 "/>
        <w:tblDescription w:val="Table 10 shows key resource depletion locations for hard rock based on cumulative potential production shortfall from2015 to 2050. They are, in descending order, Indigo, Inner South East, Whittlesea, Wyndham, Outer North and Hume."/>
      </w:tblPr>
      <w:tblGrid>
        <w:gridCol w:w="1405"/>
        <w:gridCol w:w="4657"/>
        <w:gridCol w:w="2127"/>
      </w:tblGrid>
      <w:tr w:rsidR="00265E4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05" w:type="dxa"/>
          </w:tcPr>
          <w:p w:rsidR="00265E4D" w:rsidRPr="009111C7" w:rsidRDefault="00265E4D" w:rsidP="00265E4D">
            <w:pPr>
              <w:pStyle w:val="TableColumnHeadingSmall"/>
            </w:pPr>
            <w:r w:rsidRPr="009111C7">
              <w:rPr>
                <w:bCs/>
                <w:color w:val="A32020"/>
              </w:rPr>
              <w:t>Region</w:t>
            </w:r>
            <w:r>
              <w:rPr>
                <w:bCs/>
                <w:color w:val="A32020"/>
              </w:rPr>
              <w:t xml:space="preserve"> name</w:t>
            </w:r>
          </w:p>
        </w:tc>
        <w:tc>
          <w:tcPr>
            <w:tcW w:w="4657" w:type="dxa"/>
          </w:tcPr>
          <w:p w:rsidR="00265E4D" w:rsidRPr="009111C7" w:rsidRDefault="00265E4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9111C7">
              <w:rPr>
                <w:bCs/>
                <w:color w:val="A32020"/>
              </w:rPr>
              <w:t>LGAs in region</w:t>
            </w:r>
          </w:p>
        </w:tc>
        <w:tc>
          <w:tcPr>
            <w:tcW w:w="2127" w:type="dxa"/>
          </w:tcPr>
          <w:p w:rsidR="00265E4D" w:rsidRPr="009111C7" w:rsidRDefault="00265E4D" w:rsidP="00265E4D">
            <w:pPr>
              <w:pStyle w:val="TableColumnHeadingSmall"/>
              <w:jc w:val="right"/>
              <w:cnfStyle w:val="100000000000" w:firstRow="1" w:lastRow="0" w:firstColumn="0" w:lastColumn="0" w:oddVBand="0" w:evenVBand="0" w:oddHBand="0" w:evenHBand="0" w:firstRowFirstColumn="0" w:firstRowLastColumn="0" w:lastRowFirstColumn="0" w:lastRowLastColumn="0"/>
            </w:pPr>
            <w:r>
              <w:rPr>
                <w:bCs/>
                <w:color w:val="A32020"/>
              </w:rPr>
              <w:t>Cumulative production shortfall 2015</w:t>
            </w:r>
            <w:r w:rsidR="008C098D">
              <w:rPr>
                <w:bCs/>
                <w:color w:val="A32020"/>
              </w:rPr>
              <w:t xml:space="preserve"> to </w:t>
            </w:r>
            <w:r>
              <w:rPr>
                <w:bCs/>
                <w:color w:val="A32020"/>
              </w:rPr>
              <w:t>2050</w:t>
            </w:r>
            <w:r w:rsidR="00B03DFE">
              <w:rPr>
                <w:bCs/>
                <w:color w:val="A32020"/>
              </w:rPr>
              <w:t xml:space="preserve"> (tonnes)</w:t>
            </w:r>
          </w:p>
        </w:tc>
      </w:tr>
      <w:tr w:rsidR="00265E4D" w:rsidTr="006916CE">
        <w:tc>
          <w:tcPr>
            <w:tcW w:w="1405" w:type="dxa"/>
            <w:vAlign w:val="center"/>
          </w:tcPr>
          <w:p w:rsidR="00265E4D" w:rsidRDefault="00265E4D" w:rsidP="00265E4D">
            <w:pPr>
              <w:pStyle w:val="TableTextSmall"/>
              <w:keepNext/>
            </w:pPr>
            <w:r>
              <w:rPr>
                <w:color w:val="000000"/>
                <w:szCs w:val="16"/>
              </w:rPr>
              <w:t>Indigo (S)</w:t>
            </w:r>
          </w:p>
        </w:tc>
        <w:tc>
          <w:tcPr>
            <w:tcW w:w="4657" w:type="dxa"/>
            <w:vAlign w:val="center"/>
          </w:tcPr>
          <w:p w:rsidR="00265E4D" w:rsidRDefault="00265E4D" w:rsidP="00265E4D">
            <w:pPr>
              <w:pStyle w:val="TableTextSmall"/>
              <w:keepNext/>
            </w:pPr>
            <w:r>
              <w:rPr>
                <w:color w:val="000000"/>
                <w:szCs w:val="16"/>
              </w:rPr>
              <w:t>Indigo (S)</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79,081,600</w:t>
            </w:r>
          </w:p>
        </w:tc>
      </w:tr>
      <w:tr w:rsidR="00265E4D" w:rsidTr="006916CE">
        <w:tc>
          <w:tcPr>
            <w:tcW w:w="1405" w:type="dxa"/>
            <w:vAlign w:val="center"/>
          </w:tcPr>
          <w:p w:rsidR="00265E4D" w:rsidRDefault="00265E4D" w:rsidP="00265E4D">
            <w:pPr>
              <w:pStyle w:val="TableTextSmall"/>
              <w:keepNext/>
            </w:pPr>
            <w:r>
              <w:rPr>
                <w:color w:val="000000"/>
                <w:szCs w:val="16"/>
              </w:rPr>
              <w:t>Inner South East</w:t>
            </w:r>
          </w:p>
        </w:tc>
        <w:tc>
          <w:tcPr>
            <w:tcW w:w="4657" w:type="dxa"/>
            <w:vAlign w:val="center"/>
          </w:tcPr>
          <w:p w:rsidR="00265E4D" w:rsidRDefault="00265E4D" w:rsidP="00265E4D">
            <w:pPr>
              <w:pStyle w:val="TableTextSmall"/>
              <w:keepNext/>
            </w:pPr>
            <w:r>
              <w:rPr>
                <w:color w:val="000000"/>
                <w:szCs w:val="16"/>
              </w:rPr>
              <w:t>Bass Coast (S),Cardinia (S),Casey (C),Frankston (C),Knox (C),Mornington Peninsula (S),Whitehorse (C),Yarra Ranges (S)</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78,073,196</w:t>
            </w:r>
          </w:p>
        </w:tc>
      </w:tr>
      <w:tr w:rsidR="00265E4D" w:rsidTr="006916CE">
        <w:tc>
          <w:tcPr>
            <w:tcW w:w="1405" w:type="dxa"/>
            <w:vAlign w:val="center"/>
          </w:tcPr>
          <w:p w:rsidR="00265E4D" w:rsidRDefault="00265E4D" w:rsidP="00265E4D">
            <w:pPr>
              <w:pStyle w:val="TableTextSmall"/>
              <w:keepNext/>
            </w:pPr>
            <w:r>
              <w:rPr>
                <w:color w:val="000000"/>
                <w:szCs w:val="16"/>
              </w:rPr>
              <w:t>Whittlesea (C)</w:t>
            </w:r>
          </w:p>
        </w:tc>
        <w:tc>
          <w:tcPr>
            <w:tcW w:w="4657" w:type="dxa"/>
            <w:vAlign w:val="center"/>
          </w:tcPr>
          <w:p w:rsidR="00265E4D" w:rsidRDefault="00265E4D" w:rsidP="00265E4D">
            <w:pPr>
              <w:pStyle w:val="TableTextSmall"/>
              <w:keepNext/>
            </w:pPr>
            <w:r>
              <w:rPr>
                <w:color w:val="000000"/>
                <w:szCs w:val="16"/>
              </w:rPr>
              <w:t>Whittlesea (C)</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43,168,216</w:t>
            </w:r>
          </w:p>
        </w:tc>
      </w:tr>
      <w:tr w:rsidR="00265E4D" w:rsidTr="006916CE">
        <w:tc>
          <w:tcPr>
            <w:tcW w:w="1405" w:type="dxa"/>
            <w:vAlign w:val="center"/>
          </w:tcPr>
          <w:p w:rsidR="00265E4D" w:rsidRDefault="00265E4D" w:rsidP="00265E4D">
            <w:pPr>
              <w:pStyle w:val="TableTextSmall"/>
              <w:keepNext/>
            </w:pPr>
            <w:r>
              <w:rPr>
                <w:color w:val="000000"/>
                <w:szCs w:val="16"/>
              </w:rPr>
              <w:t>Wyndham (C)</w:t>
            </w:r>
          </w:p>
        </w:tc>
        <w:tc>
          <w:tcPr>
            <w:tcW w:w="4657" w:type="dxa"/>
            <w:vAlign w:val="center"/>
          </w:tcPr>
          <w:p w:rsidR="00265E4D" w:rsidRDefault="00265E4D" w:rsidP="00265E4D">
            <w:pPr>
              <w:pStyle w:val="TableTextSmall"/>
              <w:keepNext/>
            </w:pPr>
            <w:r>
              <w:rPr>
                <w:color w:val="000000"/>
                <w:szCs w:val="16"/>
              </w:rPr>
              <w:t>Wyndham (C)</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39,742,484</w:t>
            </w:r>
          </w:p>
        </w:tc>
      </w:tr>
      <w:tr w:rsidR="00265E4D" w:rsidTr="006916CE">
        <w:tc>
          <w:tcPr>
            <w:tcW w:w="1405" w:type="dxa"/>
            <w:vAlign w:val="center"/>
          </w:tcPr>
          <w:p w:rsidR="00265E4D" w:rsidRDefault="00265E4D" w:rsidP="00265E4D">
            <w:pPr>
              <w:pStyle w:val="TableTextSmall"/>
              <w:keepNext/>
              <w:rPr>
                <w:color w:val="000000"/>
                <w:szCs w:val="16"/>
              </w:rPr>
            </w:pPr>
            <w:r>
              <w:rPr>
                <w:color w:val="000000"/>
                <w:szCs w:val="16"/>
              </w:rPr>
              <w:t>Outer North</w:t>
            </w:r>
          </w:p>
        </w:tc>
        <w:tc>
          <w:tcPr>
            <w:tcW w:w="4657" w:type="dxa"/>
            <w:vAlign w:val="center"/>
          </w:tcPr>
          <w:p w:rsidR="00265E4D" w:rsidRDefault="00265E4D" w:rsidP="00265E4D">
            <w:pPr>
              <w:pStyle w:val="TableTextSmall"/>
              <w:keepNext/>
              <w:rPr>
                <w:color w:val="000000"/>
                <w:szCs w:val="16"/>
              </w:rPr>
            </w:pPr>
            <w:r>
              <w:rPr>
                <w:color w:val="000000"/>
                <w:szCs w:val="16"/>
              </w:rPr>
              <w:t>Campaspe (S),Greater Bendigo (C),Greater Shepparton (C),Strathbogie (S)</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2,139,179</w:t>
            </w:r>
          </w:p>
        </w:tc>
      </w:tr>
      <w:tr w:rsidR="00265E4D" w:rsidTr="006916CE">
        <w:tc>
          <w:tcPr>
            <w:tcW w:w="1405" w:type="dxa"/>
            <w:vAlign w:val="center"/>
          </w:tcPr>
          <w:p w:rsidR="00265E4D" w:rsidRDefault="00265E4D" w:rsidP="00265E4D">
            <w:pPr>
              <w:pStyle w:val="TableTextSmall"/>
              <w:keepNext/>
              <w:rPr>
                <w:color w:val="000000"/>
                <w:szCs w:val="16"/>
              </w:rPr>
            </w:pPr>
            <w:r>
              <w:rPr>
                <w:color w:val="000000"/>
                <w:szCs w:val="16"/>
              </w:rPr>
              <w:t>Hume (C)</w:t>
            </w:r>
          </w:p>
        </w:tc>
        <w:tc>
          <w:tcPr>
            <w:tcW w:w="4657" w:type="dxa"/>
            <w:vAlign w:val="center"/>
          </w:tcPr>
          <w:p w:rsidR="00265E4D" w:rsidRDefault="00265E4D" w:rsidP="00265E4D">
            <w:pPr>
              <w:pStyle w:val="TableTextSmall"/>
              <w:keepNext/>
              <w:rPr>
                <w:color w:val="000000"/>
                <w:szCs w:val="16"/>
              </w:rPr>
            </w:pPr>
            <w:r>
              <w:rPr>
                <w:color w:val="000000"/>
                <w:szCs w:val="16"/>
              </w:rPr>
              <w:t>Hume (C)</w:t>
            </w:r>
          </w:p>
        </w:tc>
        <w:tc>
          <w:tcPr>
            <w:tcW w:w="2127" w:type="dxa"/>
            <w:vAlign w:val="bottom"/>
          </w:tcPr>
          <w:p w:rsidR="00265E4D" w:rsidRPr="00F7678D" w:rsidRDefault="00265E4D" w:rsidP="00265E4D">
            <w:pPr>
              <w:keepNext/>
              <w:jc w:val="right"/>
              <w:rPr>
                <w:rFonts w:asciiTheme="minorHAnsi" w:hAnsiTheme="minorHAnsi" w:cstheme="minorHAnsi"/>
                <w:sz w:val="16"/>
                <w:szCs w:val="22"/>
              </w:rPr>
            </w:pPr>
            <w:r w:rsidRPr="00F7678D">
              <w:rPr>
                <w:rFonts w:asciiTheme="minorHAnsi" w:hAnsiTheme="minorHAnsi" w:cstheme="minorHAnsi"/>
                <w:sz w:val="16"/>
                <w:szCs w:val="22"/>
              </w:rPr>
              <w:t>719,624</w:t>
            </w:r>
          </w:p>
        </w:tc>
      </w:tr>
    </w:tbl>
    <w:p w:rsidR="00265E4D" w:rsidRDefault="00265E4D" w:rsidP="00265E4D">
      <w:pPr>
        <w:pStyle w:val="Sources"/>
        <w:keepNext/>
      </w:pPr>
      <w:r>
        <w:t>Source: PwC analysis</w:t>
      </w:r>
    </w:p>
    <w:p w:rsidR="00265E4D" w:rsidRDefault="00265E4D" w:rsidP="00265E4D">
      <w:pPr>
        <w:pStyle w:val="Minorheading3"/>
        <w:rPr>
          <w:rFonts w:ascii="Georgia" w:hAnsi="Georgia"/>
          <w:i w:val="0"/>
          <w:color w:val="auto"/>
          <w:szCs w:val="20"/>
        </w:rPr>
        <w:sectPr w:rsidR="00265E4D" w:rsidSect="001A7D05">
          <w:pgSz w:w="11907" w:h="16840" w:code="9"/>
          <w:pgMar w:top="1588" w:right="1843" w:bottom="1418" w:left="1843" w:header="567" w:footer="567" w:gutter="0"/>
          <w:cols w:space="227"/>
          <w:docGrid w:linePitch="360"/>
        </w:sectPr>
      </w:pPr>
      <w:r>
        <w:rPr>
          <w:rFonts w:ascii="Georgia" w:hAnsi="Georgia"/>
          <w:i w:val="0"/>
          <w:color w:val="auto"/>
          <w:szCs w:val="20"/>
        </w:rPr>
        <w:t xml:space="preserve">Indigo Shire region </w:t>
      </w:r>
      <w:r w:rsidR="00F32B00">
        <w:rPr>
          <w:rFonts w:ascii="Georgia" w:hAnsi="Georgia"/>
          <w:i w:val="0"/>
          <w:color w:val="auto"/>
          <w:szCs w:val="20"/>
        </w:rPr>
        <w:t xml:space="preserve">and the </w:t>
      </w:r>
      <w:r>
        <w:rPr>
          <w:rFonts w:ascii="Georgia" w:hAnsi="Georgia"/>
          <w:i w:val="0"/>
          <w:color w:val="auto"/>
          <w:szCs w:val="20"/>
        </w:rPr>
        <w:t xml:space="preserve">Inner South East region have been identified as critical areas of hard rock WA exhaustion, with </w:t>
      </w:r>
      <w:r w:rsidRPr="00BE4D13">
        <w:rPr>
          <w:rFonts w:ascii="Georgia" w:hAnsi="Georgia"/>
          <w:i w:val="0"/>
          <w:color w:val="auto"/>
          <w:szCs w:val="20"/>
        </w:rPr>
        <w:t xml:space="preserve">significant </w:t>
      </w:r>
      <w:r>
        <w:rPr>
          <w:rFonts w:ascii="Georgia" w:hAnsi="Georgia"/>
          <w:i w:val="0"/>
          <w:color w:val="auto"/>
          <w:szCs w:val="20"/>
        </w:rPr>
        <w:t>production shortfall</w:t>
      </w:r>
      <w:r w:rsidR="00F32B00">
        <w:rPr>
          <w:rFonts w:ascii="Georgia" w:hAnsi="Georgia"/>
          <w:i w:val="0"/>
          <w:color w:val="auto"/>
          <w:szCs w:val="20"/>
        </w:rPr>
        <w:t>s</w:t>
      </w:r>
      <w:r>
        <w:rPr>
          <w:rFonts w:ascii="Georgia" w:hAnsi="Georgia"/>
          <w:i w:val="0"/>
          <w:color w:val="auto"/>
          <w:szCs w:val="20"/>
        </w:rPr>
        <w:t xml:space="preserve"> of over 79 million tonnes and 78 million tonnes respectively.</w:t>
      </w:r>
      <w:r w:rsidR="00295884">
        <w:rPr>
          <w:rFonts w:ascii="Georgia" w:hAnsi="Georgia"/>
          <w:i w:val="0"/>
          <w:color w:val="auto"/>
          <w:szCs w:val="20"/>
        </w:rPr>
        <w:t xml:space="preserve"> As most quarries of any significance produce between 500,000 tonnes to 1 million tonnes per annum, shortfalls of this magnitude would require approximately two new large quarries in these areas to satisfy the demand they face.</w:t>
      </w:r>
    </w:p>
    <w:p w:rsidR="00265E4D" w:rsidRDefault="00265E4D" w:rsidP="00265E4D">
      <w:pPr>
        <w:pStyle w:val="Minorheading2"/>
      </w:pPr>
      <w:bookmarkStart w:id="202" w:name="_Ref448147326"/>
      <w:r>
        <w:t xml:space="preserve">Figure </w:t>
      </w:r>
      <w:fldSimple w:instr=" SEQ Figure \* ARABIC ">
        <w:r w:rsidR="00E22E13">
          <w:rPr>
            <w:noProof/>
          </w:rPr>
          <w:t>32</w:t>
        </w:r>
      </w:fldSimple>
      <w:bookmarkEnd w:id="202"/>
      <w:r>
        <w:t xml:space="preserve">: </w:t>
      </w:r>
      <w:r w:rsidRPr="00C05CC0">
        <w:t xml:space="preserve">Key resource depletion locations – Hard rock (cumulative potential </w:t>
      </w:r>
      <w:r>
        <w:t xml:space="preserve">production </w:t>
      </w:r>
      <w:r w:rsidRPr="00C05CC0">
        <w:t>shortfall 2015</w:t>
      </w:r>
      <w:r w:rsidR="007303D4">
        <w:t xml:space="preserve"> to </w:t>
      </w:r>
      <w:r w:rsidRPr="00C05CC0">
        <w:t>2050)</w:t>
      </w:r>
    </w:p>
    <w:p w:rsidR="00265E4D" w:rsidRDefault="00F31B27" w:rsidP="00265E4D">
      <w:pPr>
        <w:pStyle w:val="Sources"/>
      </w:pPr>
      <w:r>
        <w:rPr>
          <w:noProof/>
          <w:snapToGrid/>
          <w:lang w:eastAsia="en-AU"/>
        </w:rPr>
        <w:drawing>
          <wp:inline distT="0" distB="0" distL="0" distR="0" wp14:anchorId="23445678" wp14:editId="0FB60547">
            <wp:extent cx="6751623" cy="4793942"/>
            <wp:effectExtent l="0" t="0" r="0" b="6985"/>
            <wp:docPr id="685" name="Picture 685" descr="Figure 32 shows a map of LGAs which represent key resource depletion locations for hard rock based on cumulative potential production shortfall between 2015 and 2050. "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751623" cy="4793942"/>
                    </a:xfrm>
                    <a:prstGeom prst="rect">
                      <a:avLst/>
                    </a:prstGeom>
                  </pic:spPr>
                </pic:pic>
              </a:graphicData>
            </a:graphic>
          </wp:inline>
        </w:drawing>
      </w:r>
      <w:r w:rsidR="00265E4D">
        <w:t xml:space="preserve">  </w:t>
      </w:r>
      <w:r w:rsidR="00265E4D" w:rsidRPr="004F101C">
        <w:t>Source: PwC analysis</w:t>
      </w:r>
    </w:p>
    <w:p w:rsidR="00265E4D" w:rsidRDefault="00265E4D" w:rsidP="00265E4D">
      <w:pPr>
        <w:pStyle w:val="Heading7"/>
        <w:sectPr w:rsidR="00265E4D" w:rsidSect="001A7D05">
          <w:pgSz w:w="16840" w:h="11907" w:orient="landscape" w:code="9"/>
          <w:pgMar w:top="1843" w:right="1588" w:bottom="1843" w:left="1418" w:header="567" w:footer="567" w:gutter="0"/>
          <w:cols w:space="227"/>
          <w:docGrid w:linePitch="360"/>
        </w:sectPr>
      </w:pPr>
    </w:p>
    <w:p w:rsidR="00265E4D" w:rsidRDefault="00265E4D" w:rsidP="00265E4D">
      <w:pPr>
        <w:pStyle w:val="Heading7"/>
      </w:pPr>
      <w:r>
        <w:t>Sand and gravel</w:t>
      </w:r>
    </w:p>
    <w:p w:rsidR="00265E4D" w:rsidRDefault="000B211A" w:rsidP="00265E4D">
      <w:pPr>
        <w:pStyle w:val="PwCNormal"/>
        <w:rPr>
          <w:rStyle w:val="PwCNormalChar"/>
        </w:rPr>
      </w:pPr>
      <w:r>
        <w:rPr>
          <w:rStyle w:val="PwCNormalChar"/>
        </w:rPr>
        <w:fldChar w:fldCharType="begin"/>
      </w:r>
      <w:r>
        <w:rPr>
          <w:rStyle w:val="PwCNormalChar"/>
        </w:rPr>
        <w:instrText xml:space="preserve"> REF _Ref448914048 \h </w:instrText>
      </w:r>
      <w:r>
        <w:rPr>
          <w:rStyle w:val="PwCNormalChar"/>
        </w:rPr>
      </w:r>
      <w:r>
        <w:rPr>
          <w:rStyle w:val="PwCNormalChar"/>
        </w:rPr>
        <w:fldChar w:fldCharType="separate"/>
      </w:r>
      <w:r w:rsidR="00E22E13">
        <w:t xml:space="preserve">Table </w:t>
      </w:r>
      <w:r w:rsidR="00E22E13">
        <w:rPr>
          <w:noProof/>
        </w:rPr>
        <w:t>11</w:t>
      </w:r>
      <w:r>
        <w:rPr>
          <w:rStyle w:val="PwCNormalChar"/>
        </w:rPr>
        <w:fldChar w:fldCharType="end"/>
      </w:r>
      <w:r w:rsidR="00265E4D" w:rsidRPr="00507132">
        <w:rPr>
          <w:rStyle w:val="PwCNormalChar"/>
        </w:rPr>
        <w:t xml:space="preserve"> lists those locations expected to experience significant exhaustion of current and future planned sand and gravel reserves across the period 2015</w:t>
      </w:r>
      <w:r w:rsidR="007303D4">
        <w:rPr>
          <w:rStyle w:val="PwCNormalChar"/>
        </w:rPr>
        <w:t xml:space="preserve"> to 20</w:t>
      </w:r>
      <w:r w:rsidR="00265E4D" w:rsidRPr="00507132">
        <w:rPr>
          <w:rStyle w:val="PwCNormalChar"/>
        </w:rPr>
        <w:t xml:space="preserve">50. These locations are mapped in </w:t>
      </w:r>
      <w:r>
        <w:rPr>
          <w:rStyle w:val="PwCNormalChar"/>
        </w:rPr>
        <w:fldChar w:fldCharType="begin"/>
      </w:r>
      <w:r>
        <w:rPr>
          <w:rStyle w:val="PwCNormalChar"/>
        </w:rPr>
        <w:instrText xml:space="preserve"> REF _Ref448914083 \h </w:instrText>
      </w:r>
      <w:r>
        <w:rPr>
          <w:rStyle w:val="PwCNormalChar"/>
        </w:rPr>
      </w:r>
      <w:r>
        <w:rPr>
          <w:rStyle w:val="PwCNormalChar"/>
        </w:rPr>
        <w:fldChar w:fldCharType="separate"/>
      </w:r>
      <w:r w:rsidR="00E22E13">
        <w:t xml:space="preserve">Figure </w:t>
      </w:r>
      <w:r w:rsidR="00E22E13">
        <w:rPr>
          <w:noProof/>
        </w:rPr>
        <w:t>34</w:t>
      </w:r>
      <w:r>
        <w:rPr>
          <w:rStyle w:val="PwCNormalChar"/>
        </w:rPr>
        <w:fldChar w:fldCharType="end"/>
      </w:r>
      <w:r w:rsidR="00265E4D" w:rsidRPr="00507132">
        <w:rPr>
          <w:rStyle w:val="PwCNormalChar"/>
        </w:rPr>
        <w:t xml:space="preserve">. </w:t>
      </w:r>
    </w:p>
    <w:p w:rsidR="00265E4D" w:rsidRDefault="00265E4D" w:rsidP="00265E4D">
      <w:pPr>
        <w:pStyle w:val="Caption"/>
      </w:pPr>
      <w:bookmarkStart w:id="203" w:name="_Ref448914048"/>
      <w:r>
        <w:t xml:space="preserve">Table </w:t>
      </w:r>
      <w:fldSimple w:instr=" SEQ Table \* ARABIC ">
        <w:r w:rsidR="00E22E13">
          <w:rPr>
            <w:noProof/>
          </w:rPr>
          <w:t>11</w:t>
        </w:r>
      </w:fldSimple>
      <w:bookmarkEnd w:id="203"/>
      <w:r>
        <w:t xml:space="preserve">: </w:t>
      </w:r>
      <w:r w:rsidRPr="00B86889">
        <w:t xml:space="preserve">Key resource depletion locations – Sand and gravel, cumulative potential </w:t>
      </w:r>
      <w:r>
        <w:t>production</w:t>
      </w:r>
      <w:r w:rsidRPr="00B86889">
        <w:t xml:space="preserve"> shortfall 2015</w:t>
      </w:r>
      <w:r w:rsidR="007303D4">
        <w:t xml:space="preserve"> to </w:t>
      </w:r>
      <w:r w:rsidRPr="00B86889">
        <w:t>2050</w:t>
      </w:r>
    </w:p>
    <w:tbl>
      <w:tblPr>
        <w:tblStyle w:val="Tables-APBase"/>
        <w:tblW w:w="4853" w:type="pct"/>
        <w:tblLayout w:type="fixed"/>
        <w:tblLook w:val="04A0" w:firstRow="1" w:lastRow="0" w:firstColumn="1" w:lastColumn="0" w:noHBand="0" w:noVBand="1"/>
        <w:tblCaption w:val="Table 11"/>
        <w:tblDescription w:val="Table 11 shows key resource depletion locations for sand and gravel based on cumulative potential production shortfall from2015 to 2050.  They are, in descending order, Inner South East, Inner West, Bass Coast, Golden Plains, Surf Coast, South Gippsland, Outer North East and Outer North."/>
      </w:tblPr>
      <w:tblGrid>
        <w:gridCol w:w="1668"/>
        <w:gridCol w:w="4252"/>
        <w:gridCol w:w="2269"/>
      </w:tblGrid>
      <w:tr w:rsidR="00265E4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8" w:type="dxa"/>
          </w:tcPr>
          <w:p w:rsidR="00265E4D" w:rsidRPr="009111C7" w:rsidRDefault="00265E4D" w:rsidP="00265E4D">
            <w:pPr>
              <w:pStyle w:val="TableColumnHeadingSmall"/>
            </w:pPr>
            <w:r w:rsidRPr="009111C7">
              <w:rPr>
                <w:bCs/>
                <w:color w:val="A32020"/>
              </w:rPr>
              <w:t>Region</w:t>
            </w:r>
            <w:r>
              <w:rPr>
                <w:bCs/>
                <w:color w:val="A32020"/>
              </w:rPr>
              <w:t xml:space="preserve"> name</w:t>
            </w:r>
          </w:p>
        </w:tc>
        <w:tc>
          <w:tcPr>
            <w:tcW w:w="4252" w:type="dxa"/>
          </w:tcPr>
          <w:p w:rsidR="00265E4D" w:rsidRPr="009111C7" w:rsidRDefault="00265E4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9111C7">
              <w:rPr>
                <w:bCs/>
                <w:color w:val="A32020"/>
              </w:rPr>
              <w:t>LGAs in region</w:t>
            </w:r>
          </w:p>
        </w:tc>
        <w:tc>
          <w:tcPr>
            <w:tcW w:w="2269" w:type="dxa"/>
          </w:tcPr>
          <w:p w:rsidR="00265E4D" w:rsidRPr="009111C7" w:rsidRDefault="00265E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Pr>
                <w:bCs/>
                <w:color w:val="A32020"/>
              </w:rPr>
              <w:t>Cumulative production  shortfall 2015</w:t>
            </w:r>
            <w:r w:rsidR="007303D4">
              <w:rPr>
                <w:bCs/>
                <w:color w:val="A32020"/>
              </w:rPr>
              <w:t xml:space="preserve"> to </w:t>
            </w:r>
            <w:r>
              <w:rPr>
                <w:bCs/>
                <w:color w:val="A32020"/>
              </w:rPr>
              <w:t>2050</w:t>
            </w:r>
            <w:r w:rsidR="00B03DFE">
              <w:rPr>
                <w:bCs/>
                <w:color w:val="A32020"/>
              </w:rPr>
              <w:t xml:space="preserve"> (tonnes)</w:t>
            </w:r>
          </w:p>
        </w:tc>
      </w:tr>
      <w:tr w:rsidR="00265E4D" w:rsidTr="006916CE">
        <w:tc>
          <w:tcPr>
            <w:tcW w:w="1668" w:type="dxa"/>
            <w:vAlign w:val="center"/>
          </w:tcPr>
          <w:p w:rsidR="00265E4D" w:rsidRDefault="00265E4D" w:rsidP="00265E4D">
            <w:pPr>
              <w:pStyle w:val="TableTextSmall"/>
            </w:pPr>
            <w:r w:rsidRPr="00CD18BC">
              <w:t>Inner South East</w:t>
            </w:r>
          </w:p>
        </w:tc>
        <w:tc>
          <w:tcPr>
            <w:tcW w:w="4252" w:type="dxa"/>
            <w:vAlign w:val="center"/>
          </w:tcPr>
          <w:p w:rsidR="00265E4D" w:rsidRDefault="00265E4D" w:rsidP="00265E4D">
            <w:pPr>
              <w:pStyle w:val="TableTextSmall"/>
            </w:pPr>
            <w:r w:rsidRPr="00CD18BC">
              <w:t>Frankston (C),Kingston (C),Mornington Peninsula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25,334,499</w:t>
            </w:r>
          </w:p>
        </w:tc>
      </w:tr>
      <w:tr w:rsidR="00265E4D" w:rsidTr="006916CE">
        <w:tc>
          <w:tcPr>
            <w:tcW w:w="1668" w:type="dxa"/>
            <w:vAlign w:val="bottom"/>
          </w:tcPr>
          <w:p w:rsidR="00265E4D" w:rsidRPr="00802D6D" w:rsidRDefault="00265E4D" w:rsidP="00265E4D">
            <w:pPr>
              <w:pStyle w:val="TableTextSmall"/>
            </w:pPr>
            <w:r w:rsidRPr="00802D6D">
              <w:t>Inner West</w:t>
            </w:r>
          </w:p>
        </w:tc>
        <w:tc>
          <w:tcPr>
            <w:tcW w:w="4252" w:type="dxa"/>
            <w:vAlign w:val="bottom"/>
          </w:tcPr>
          <w:p w:rsidR="00265E4D" w:rsidRPr="00802D6D" w:rsidRDefault="00265E4D" w:rsidP="00265E4D">
            <w:pPr>
              <w:pStyle w:val="TableTextSmall"/>
            </w:pPr>
            <w:r w:rsidRPr="00802D6D">
              <w:t>Macedon Ranges (S),Moorabool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20,838,334</w:t>
            </w:r>
          </w:p>
        </w:tc>
      </w:tr>
      <w:tr w:rsidR="00265E4D" w:rsidTr="006916CE">
        <w:tc>
          <w:tcPr>
            <w:tcW w:w="1668" w:type="dxa"/>
            <w:vAlign w:val="center"/>
          </w:tcPr>
          <w:p w:rsidR="00265E4D" w:rsidRDefault="00265E4D" w:rsidP="00265E4D">
            <w:pPr>
              <w:pStyle w:val="TableTextSmall"/>
              <w:rPr>
                <w:color w:val="000000"/>
                <w:szCs w:val="16"/>
              </w:rPr>
            </w:pPr>
            <w:r w:rsidRPr="00CD18BC">
              <w:t>Bass Coast (S)</w:t>
            </w:r>
          </w:p>
        </w:tc>
        <w:tc>
          <w:tcPr>
            <w:tcW w:w="4252" w:type="dxa"/>
            <w:vAlign w:val="center"/>
          </w:tcPr>
          <w:p w:rsidR="00265E4D" w:rsidRDefault="00265E4D" w:rsidP="00265E4D">
            <w:pPr>
              <w:pStyle w:val="TableTextSmall"/>
              <w:rPr>
                <w:color w:val="000000"/>
                <w:szCs w:val="16"/>
              </w:rPr>
            </w:pPr>
            <w:r w:rsidRPr="00CD18BC">
              <w:t>Bass Coast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11,477,834</w:t>
            </w:r>
          </w:p>
        </w:tc>
      </w:tr>
      <w:tr w:rsidR="00265E4D" w:rsidTr="006916CE">
        <w:tc>
          <w:tcPr>
            <w:tcW w:w="1668" w:type="dxa"/>
            <w:vAlign w:val="center"/>
          </w:tcPr>
          <w:p w:rsidR="00265E4D" w:rsidRDefault="00265E4D" w:rsidP="00265E4D">
            <w:pPr>
              <w:pStyle w:val="TableTextSmall"/>
              <w:rPr>
                <w:color w:val="000000"/>
                <w:szCs w:val="16"/>
              </w:rPr>
            </w:pPr>
            <w:r w:rsidRPr="00CD18BC">
              <w:t>Golden Plains (S)</w:t>
            </w:r>
          </w:p>
        </w:tc>
        <w:tc>
          <w:tcPr>
            <w:tcW w:w="4252" w:type="dxa"/>
            <w:vAlign w:val="center"/>
          </w:tcPr>
          <w:p w:rsidR="00265E4D" w:rsidRDefault="00265E4D" w:rsidP="00265E4D">
            <w:pPr>
              <w:pStyle w:val="TableTextSmall"/>
              <w:rPr>
                <w:color w:val="000000"/>
                <w:szCs w:val="16"/>
              </w:rPr>
            </w:pPr>
            <w:r w:rsidRPr="00CD18BC">
              <w:t>Golden Plains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7,252,991</w:t>
            </w:r>
          </w:p>
        </w:tc>
      </w:tr>
      <w:tr w:rsidR="00265E4D" w:rsidTr="006916CE">
        <w:tc>
          <w:tcPr>
            <w:tcW w:w="1668" w:type="dxa"/>
            <w:vAlign w:val="center"/>
          </w:tcPr>
          <w:p w:rsidR="00265E4D" w:rsidRDefault="00265E4D" w:rsidP="00265E4D">
            <w:pPr>
              <w:pStyle w:val="TableTextSmall"/>
              <w:rPr>
                <w:color w:val="000000"/>
                <w:szCs w:val="16"/>
              </w:rPr>
            </w:pPr>
            <w:r w:rsidRPr="00CD18BC">
              <w:t>Surf Coast (S)</w:t>
            </w:r>
          </w:p>
        </w:tc>
        <w:tc>
          <w:tcPr>
            <w:tcW w:w="4252" w:type="dxa"/>
            <w:vAlign w:val="center"/>
          </w:tcPr>
          <w:p w:rsidR="00265E4D" w:rsidRDefault="00265E4D" w:rsidP="00265E4D">
            <w:pPr>
              <w:pStyle w:val="TableTextSmall"/>
              <w:rPr>
                <w:color w:val="000000"/>
                <w:szCs w:val="16"/>
              </w:rPr>
            </w:pPr>
            <w:r w:rsidRPr="00CD18BC">
              <w:t>Surf Coast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6,147,105</w:t>
            </w:r>
          </w:p>
        </w:tc>
      </w:tr>
      <w:tr w:rsidR="00265E4D" w:rsidTr="006916CE">
        <w:tc>
          <w:tcPr>
            <w:tcW w:w="1668" w:type="dxa"/>
            <w:vAlign w:val="center"/>
          </w:tcPr>
          <w:p w:rsidR="00265E4D" w:rsidRDefault="00265E4D" w:rsidP="00265E4D">
            <w:pPr>
              <w:pStyle w:val="TableTextSmall"/>
            </w:pPr>
            <w:r w:rsidRPr="00CD18BC">
              <w:t>South Gippsland (S)</w:t>
            </w:r>
          </w:p>
        </w:tc>
        <w:tc>
          <w:tcPr>
            <w:tcW w:w="4252" w:type="dxa"/>
            <w:vAlign w:val="center"/>
          </w:tcPr>
          <w:p w:rsidR="00265E4D" w:rsidRDefault="00265E4D" w:rsidP="00265E4D">
            <w:pPr>
              <w:pStyle w:val="TableTextSmall"/>
            </w:pPr>
            <w:r w:rsidRPr="00CD18BC">
              <w:t>South Gippsland (S)</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2,592,732</w:t>
            </w:r>
          </w:p>
        </w:tc>
      </w:tr>
      <w:tr w:rsidR="00265E4D" w:rsidTr="006916CE">
        <w:tc>
          <w:tcPr>
            <w:tcW w:w="1668" w:type="dxa"/>
            <w:vAlign w:val="center"/>
          </w:tcPr>
          <w:p w:rsidR="00265E4D" w:rsidRDefault="00265E4D" w:rsidP="00265E4D">
            <w:pPr>
              <w:pStyle w:val="TableTextSmall"/>
              <w:rPr>
                <w:color w:val="000000"/>
                <w:szCs w:val="16"/>
              </w:rPr>
            </w:pPr>
            <w:r w:rsidRPr="00CD18BC">
              <w:t>Outer North East</w:t>
            </w:r>
          </w:p>
        </w:tc>
        <w:tc>
          <w:tcPr>
            <w:tcW w:w="4252" w:type="dxa"/>
            <w:vAlign w:val="center"/>
          </w:tcPr>
          <w:p w:rsidR="00265E4D" w:rsidRDefault="00265E4D" w:rsidP="00265E4D">
            <w:pPr>
              <w:pStyle w:val="TableTextSmall"/>
              <w:rPr>
                <w:color w:val="000000"/>
                <w:szCs w:val="16"/>
              </w:rPr>
            </w:pPr>
            <w:r w:rsidRPr="00CD18BC">
              <w:t>Indigo (S),Towong (S),Wodonga (RC)</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2,128,664</w:t>
            </w:r>
          </w:p>
        </w:tc>
      </w:tr>
      <w:tr w:rsidR="00265E4D" w:rsidTr="006916CE">
        <w:tc>
          <w:tcPr>
            <w:tcW w:w="1668" w:type="dxa"/>
            <w:vAlign w:val="center"/>
          </w:tcPr>
          <w:p w:rsidR="00265E4D" w:rsidRDefault="00265E4D" w:rsidP="00265E4D">
            <w:pPr>
              <w:pStyle w:val="TableTextSmall"/>
              <w:rPr>
                <w:color w:val="000000"/>
                <w:szCs w:val="16"/>
              </w:rPr>
            </w:pPr>
            <w:r w:rsidRPr="00CD18BC">
              <w:t>Outer North</w:t>
            </w:r>
          </w:p>
        </w:tc>
        <w:tc>
          <w:tcPr>
            <w:tcW w:w="4252" w:type="dxa"/>
            <w:vAlign w:val="center"/>
          </w:tcPr>
          <w:p w:rsidR="00265E4D" w:rsidRDefault="00265E4D" w:rsidP="00265E4D">
            <w:pPr>
              <w:pStyle w:val="TableTextSmall"/>
              <w:rPr>
                <w:color w:val="000000"/>
                <w:szCs w:val="16"/>
              </w:rPr>
            </w:pPr>
            <w:r w:rsidRPr="00CD18BC">
              <w:t>Campaspe (S),Greater Shepparton (C)</w:t>
            </w:r>
          </w:p>
        </w:tc>
        <w:tc>
          <w:tcPr>
            <w:tcW w:w="2269" w:type="dxa"/>
            <w:vAlign w:val="bottom"/>
          </w:tcPr>
          <w:p w:rsidR="00265E4D" w:rsidRPr="005E3048" w:rsidRDefault="00265E4D" w:rsidP="00265E4D">
            <w:pPr>
              <w:jc w:val="right"/>
              <w:rPr>
                <w:rFonts w:asciiTheme="minorHAnsi" w:hAnsiTheme="minorHAnsi" w:cstheme="minorHAnsi"/>
                <w:sz w:val="16"/>
                <w:szCs w:val="16"/>
              </w:rPr>
            </w:pPr>
            <w:r w:rsidRPr="005E3048">
              <w:rPr>
                <w:rFonts w:asciiTheme="minorHAnsi" w:hAnsiTheme="minorHAnsi" w:cstheme="minorHAnsi"/>
                <w:sz w:val="16"/>
                <w:szCs w:val="16"/>
              </w:rPr>
              <w:t>500,118</w:t>
            </w:r>
          </w:p>
        </w:tc>
      </w:tr>
    </w:tbl>
    <w:p w:rsidR="00265E4D" w:rsidRDefault="00265E4D" w:rsidP="00265E4D">
      <w:pPr>
        <w:pStyle w:val="Sources"/>
      </w:pPr>
      <w:r>
        <w:t>Source: PwC analysis</w:t>
      </w:r>
    </w:p>
    <w:p w:rsidR="00265E4D" w:rsidRDefault="00265E4D">
      <w:pPr>
        <w:pStyle w:val="PwCNormal"/>
      </w:pPr>
      <w:r>
        <w:t xml:space="preserve">The Inner South East </w:t>
      </w:r>
      <w:r w:rsidR="00F32B00">
        <w:t xml:space="preserve">and Inner West regions are </w:t>
      </w:r>
      <w:r>
        <w:t>identified as critical area</w:t>
      </w:r>
      <w:r w:rsidR="00F32B00">
        <w:t>s</w:t>
      </w:r>
      <w:r>
        <w:t xml:space="preserve"> </w:t>
      </w:r>
      <w:r w:rsidR="00F32B00">
        <w:t xml:space="preserve">under Criterion 2, with potential production shortfalls of </w:t>
      </w:r>
      <w:r>
        <w:t xml:space="preserve">25 million tonnes </w:t>
      </w:r>
      <w:r w:rsidR="00F32B00">
        <w:t xml:space="preserve">and 21 million tonnes respectively </w:t>
      </w:r>
      <w:r>
        <w:t>over the 2015</w:t>
      </w:r>
      <w:r w:rsidR="007303D4">
        <w:t xml:space="preserve"> to </w:t>
      </w:r>
      <w:r>
        <w:t xml:space="preserve">2050 period. </w:t>
      </w:r>
    </w:p>
    <w:p w:rsidR="00930699" w:rsidRDefault="00930699">
      <w:pPr>
        <w:pStyle w:val="PwCNormal"/>
      </w:pPr>
      <w:r>
        <w:t xml:space="preserve">Due to data limitations, sand and gravel are counted within the analysis as a single resource. However PwC understands that these are not necessarily identical products. Some information has been provided to PwC with respect to the potential breakdown of demand within this category. </w:t>
      </w:r>
    </w:p>
    <w:p w:rsidR="00930699" w:rsidRDefault="00930699">
      <w:pPr>
        <w:pStyle w:val="PwCNormal"/>
      </w:pPr>
      <w:r w:rsidRPr="006254AD">
        <w:t>The demand analysis indicates that approximately 48 per cent of forecast demand for sand and gravel could relate to demand for concrete sand and subsurface drainage sand</w:t>
      </w:r>
      <w:r>
        <w:t xml:space="preserve">. Fine sand was estimated to represent </w:t>
      </w:r>
      <w:r w:rsidRPr="006254AD">
        <w:t>15 per cent</w:t>
      </w:r>
      <w:r>
        <w:t xml:space="preserve"> of sand and gravel projected demand. These estimates are </w:t>
      </w:r>
      <w:r w:rsidRPr="006254AD">
        <w:t>based on an average applied across all projected years 2015</w:t>
      </w:r>
      <w:r w:rsidR="007303D4">
        <w:t xml:space="preserve"> to 20</w:t>
      </w:r>
      <w:r w:rsidRPr="006254AD">
        <w:t>50.</w:t>
      </w:r>
      <w:r w:rsidR="002E3C50">
        <w:t xml:space="preserve"> </w:t>
      </w:r>
      <w:r w:rsidR="002E3C50">
        <w:fldChar w:fldCharType="begin"/>
      </w:r>
      <w:r w:rsidR="002E3C50">
        <w:instrText xml:space="preserve"> REF _Ref448921208 \h </w:instrText>
      </w:r>
      <w:r w:rsidR="002E3C50">
        <w:fldChar w:fldCharType="separate"/>
      </w:r>
      <w:r w:rsidR="00E22E13">
        <w:t xml:space="preserve">Figure </w:t>
      </w:r>
      <w:r w:rsidR="00E22E13">
        <w:rPr>
          <w:noProof/>
        </w:rPr>
        <w:t>33</w:t>
      </w:r>
      <w:r w:rsidR="002E3C50">
        <w:fldChar w:fldCharType="end"/>
      </w:r>
      <w:r w:rsidR="002E3C50">
        <w:t xml:space="preserve"> provides a year-on-year indicative breakdown of the sand and gravel resource category into its expected uses.</w:t>
      </w:r>
    </w:p>
    <w:p w:rsidR="002E3C50" w:rsidRDefault="002E3C50">
      <w:pPr>
        <w:pStyle w:val="PwCNormal"/>
      </w:pPr>
      <w:r>
        <w:t xml:space="preserve">The figure shows a reduction over time in the growth of the Sand and Gravel share attributable to concrete and fine sand. The demand analysis indicates that this is mainly driven by a changing construction mix that has been forecast over the analysis period. </w:t>
      </w:r>
    </w:p>
    <w:p w:rsidR="002E3C50" w:rsidRDefault="002E3C50" w:rsidP="00546EA3">
      <w:pPr>
        <w:pStyle w:val="Caption"/>
      </w:pPr>
      <w:bookmarkStart w:id="204" w:name="_Ref448921208"/>
      <w:r>
        <w:t xml:space="preserve">Figure </w:t>
      </w:r>
      <w:fldSimple w:instr=" SEQ Figure \* ARABIC ">
        <w:r w:rsidR="00E22E13">
          <w:rPr>
            <w:noProof/>
          </w:rPr>
          <w:t>33</w:t>
        </w:r>
      </w:fldSimple>
      <w:bookmarkEnd w:id="204"/>
      <w:r>
        <w:t>: Projected sand and gravel demand – indicative breakdown by usage type</w:t>
      </w:r>
    </w:p>
    <w:p w:rsidR="002E3C50" w:rsidRDefault="002E3C50" w:rsidP="006916CE">
      <w:pPr>
        <w:pStyle w:val="Sources"/>
        <w:keepNext/>
      </w:pPr>
      <w:r>
        <w:rPr>
          <w:noProof/>
          <w:snapToGrid/>
          <w:lang w:eastAsia="en-AU"/>
        </w:rPr>
        <w:drawing>
          <wp:inline distT="0" distB="0" distL="0" distR="0" wp14:anchorId="54F52A71" wp14:editId="5C6A0CFD">
            <wp:extent cx="5220335" cy="2570011"/>
            <wp:effectExtent l="0" t="0" r="0" b="1905"/>
            <wp:docPr id="312" name="Picture 312" descr="Figure 33 is a graph showing an indicative breakdown of projected sand and gravel demand by usage type. It shows that though the demand forecast that is attributable to concrete sand and subsurface drainage sand does not increase by 2050, the share of demand attributable to other construction materials about doubles. The overall sand and gravel demand forecast increases only marginally by 2050. "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20335" cy="2570011"/>
                    </a:xfrm>
                    <a:prstGeom prst="rect">
                      <a:avLst/>
                    </a:prstGeom>
                  </pic:spPr>
                </pic:pic>
              </a:graphicData>
            </a:graphic>
          </wp:inline>
        </w:drawing>
      </w:r>
      <w:r>
        <w:t>Source: EY</w:t>
      </w:r>
      <w:r w:rsidRPr="0089081A">
        <w:t>, Demand analysis of extractive resources in Victoria</w:t>
      </w:r>
      <w:r>
        <w:t>, 2016</w:t>
      </w:r>
    </w:p>
    <w:p w:rsidR="00930699" w:rsidRDefault="00930699">
      <w:pPr>
        <w:pStyle w:val="PwCNormal"/>
      </w:pPr>
      <w:r>
        <w:t xml:space="preserve">On the supply side, PwC’s </w:t>
      </w:r>
      <w:r w:rsidRPr="00556EFE">
        <w:t xml:space="preserve">industry data gathering </w:t>
      </w:r>
      <w:r>
        <w:t xml:space="preserve">collected </w:t>
      </w:r>
      <w:r w:rsidRPr="00556EFE">
        <w:t>information from respondents on extractive product types. In relation to concrete sand, approximately 36 per cent of sand and gravel producers indicated they could produce that product from the resources mined in their quarries</w:t>
      </w:r>
      <w:r w:rsidR="00F24AB8">
        <w:t xml:space="preserve">. Volumes produced of concrete sand have not been quantified within the analysis. </w:t>
      </w:r>
    </w:p>
    <w:p w:rsidR="00265E4D" w:rsidRDefault="00265E4D" w:rsidP="00546EA3">
      <w:pPr>
        <w:pStyle w:val="PwCNormal"/>
      </w:pPr>
      <w:r w:rsidRPr="005A2D8D">
        <w:t xml:space="preserve"> </w:t>
      </w:r>
    </w:p>
    <w:p w:rsidR="00265E4D" w:rsidRDefault="00265E4D" w:rsidP="00265E4D">
      <w:pPr>
        <w:pStyle w:val="PwCNormal"/>
        <w:rPr>
          <w:highlight w:val="yellow"/>
        </w:rPr>
        <w:sectPr w:rsidR="00265E4D" w:rsidSect="001A7D05">
          <w:pgSz w:w="11907" w:h="16840" w:code="9"/>
          <w:pgMar w:top="1588" w:right="1843" w:bottom="1418" w:left="1843" w:header="567" w:footer="567" w:gutter="0"/>
          <w:cols w:space="227"/>
          <w:docGrid w:linePitch="360"/>
        </w:sectPr>
      </w:pPr>
    </w:p>
    <w:p w:rsidR="00265E4D" w:rsidRDefault="00265E4D" w:rsidP="00265E4D">
      <w:pPr>
        <w:pStyle w:val="Minorheading2"/>
      </w:pPr>
      <w:bookmarkStart w:id="205" w:name="_Ref448914083"/>
      <w:r>
        <w:t xml:space="preserve">Figure </w:t>
      </w:r>
      <w:fldSimple w:instr=" SEQ Figure \* ARABIC ">
        <w:r w:rsidR="00E22E13">
          <w:rPr>
            <w:noProof/>
          </w:rPr>
          <w:t>34</w:t>
        </w:r>
      </w:fldSimple>
      <w:bookmarkEnd w:id="205"/>
      <w:r>
        <w:t xml:space="preserve">: </w:t>
      </w:r>
      <w:r w:rsidRPr="00C234FC">
        <w:t>Key resource depletion locations – Sand and gravel (cumulative potential production shortfall 2015</w:t>
      </w:r>
      <w:r w:rsidR="007303D4">
        <w:t xml:space="preserve"> to </w:t>
      </w:r>
      <w:r w:rsidRPr="00C234FC">
        <w:t>2050)</w:t>
      </w:r>
    </w:p>
    <w:p w:rsidR="00265E4D" w:rsidRDefault="00F31B27" w:rsidP="00265E4D">
      <w:pPr>
        <w:pStyle w:val="Sources"/>
        <w:rPr>
          <w:i/>
          <w:iCs/>
        </w:rPr>
        <w:sectPr w:rsidR="00265E4D" w:rsidSect="001A7D05">
          <w:pgSz w:w="16840" w:h="11907" w:orient="landscape" w:code="9"/>
          <w:pgMar w:top="1843" w:right="1588" w:bottom="1843" w:left="1418" w:header="567" w:footer="567" w:gutter="0"/>
          <w:cols w:space="227"/>
          <w:docGrid w:linePitch="360"/>
        </w:sectPr>
      </w:pPr>
      <w:r>
        <w:rPr>
          <w:noProof/>
          <w:snapToGrid/>
          <w:lang w:eastAsia="en-AU"/>
        </w:rPr>
        <w:drawing>
          <wp:inline distT="0" distB="0" distL="0" distR="0" wp14:anchorId="6B811AE0" wp14:editId="52F102D4">
            <wp:extent cx="6915705" cy="4965122"/>
            <wp:effectExtent l="0" t="0" r="0" b="6985"/>
            <wp:docPr id="686" name="Picture 686" descr="Figure 34 shows a map of LGAs which represent key resource depletion locations for sand and gravel based on cumulative potential production shortfall between 2015 and 2050."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910913" cy="4961681"/>
                    </a:xfrm>
                    <a:prstGeom prst="rect">
                      <a:avLst/>
                    </a:prstGeom>
                  </pic:spPr>
                </pic:pic>
              </a:graphicData>
            </a:graphic>
          </wp:inline>
        </w:drawing>
      </w:r>
      <w:r w:rsidR="00265E4D" w:rsidRPr="00810064">
        <w:rPr>
          <w:noProof/>
          <w:lang w:eastAsia="en-AU"/>
        </w:rPr>
        <mc:AlternateContent>
          <mc:Choice Requires="wps">
            <w:drawing>
              <wp:anchor distT="0" distB="0" distL="114300" distR="114300" simplePos="0" relativeHeight="251704320" behindDoc="0" locked="0" layoutInCell="1" allowOverlap="1" wp14:anchorId="030657CF" wp14:editId="25635D0B">
                <wp:simplePos x="0" y="0"/>
                <wp:positionH relativeFrom="column">
                  <wp:posOffset>5485142</wp:posOffset>
                </wp:positionH>
                <wp:positionV relativeFrom="paragraph">
                  <wp:posOffset>520065</wp:posOffset>
                </wp:positionV>
                <wp:extent cx="45085" cy="67945"/>
                <wp:effectExtent l="0" t="0" r="0" b="8255"/>
                <wp:wrapNone/>
                <wp:docPr id="15394" name="Rectangle 15394"/>
                <wp:cNvGraphicFramePr/>
                <a:graphic xmlns:a="http://schemas.openxmlformats.org/drawingml/2006/main">
                  <a:graphicData uri="http://schemas.microsoft.com/office/word/2010/wordprocessingShape">
                    <wps:wsp>
                      <wps:cNvSpPr/>
                      <wps:spPr bwMode="ltGray">
                        <a:xfrm flipH="1">
                          <a:off x="0" y="0"/>
                          <a:ext cx="45085" cy="67945"/>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0A3C7" id="Rectangle 15394" o:spid="_x0000_s1026" style="position:absolute;margin-left:431.9pt;margin-top:40.95pt;width:3.55pt;height:5.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" fillcolor="white [3214]" stroked="f" strokeweight=".25pt"/>
            </w:pict>
          </mc:Fallback>
        </mc:AlternateContent>
      </w:r>
      <w:r w:rsidR="00265E4D">
        <w:t>Source PwC analysis</w:t>
      </w:r>
    </w:p>
    <w:p w:rsidR="00265E4D" w:rsidRDefault="00265E4D" w:rsidP="00265E4D">
      <w:pPr>
        <w:pStyle w:val="Heading7"/>
      </w:pPr>
      <w:r>
        <w:t>Limestone</w:t>
      </w:r>
    </w:p>
    <w:p w:rsidR="00265E4D" w:rsidRPr="00E7107D" w:rsidRDefault="00265E4D" w:rsidP="00265E4D">
      <w:pPr>
        <w:pStyle w:val="PwCNormal"/>
        <w:rPr>
          <w:i/>
        </w:rPr>
      </w:pPr>
      <w:r>
        <w:t xml:space="preserve">Key limestone locations are listed in </w:t>
      </w:r>
      <w:r>
        <w:fldChar w:fldCharType="begin"/>
      </w:r>
      <w:r>
        <w:instrText xml:space="preserve"> REF _Ref448147679 \h </w:instrText>
      </w:r>
      <w:r>
        <w:fldChar w:fldCharType="separate"/>
      </w:r>
      <w:r w:rsidR="00E22E13">
        <w:t xml:space="preserve">Table </w:t>
      </w:r>
      <w:r w:rsidR="00E22E13">
        <w:rPr>
          <w:noProof/>
        </w:rPr>
        <w:t>12</w:t>
      </w:r>
      <w:r>
        <w:fldChar w:fldCharType="end"/>
      </w:r>
      <w:r>
        <w:t xml:space="preserve"> ranked from highest to lowest in terms of the level of resource exhaustion across 2015</w:t>
      </w:r>
      <w:r w:rsidR="007303D4">
        <w:t xml:space="preserve"> to 20</w:t>
      </w:r>
      <w:r>
        <w:t xml:space="preserve">50. These locations are mapped in </w:t>
      </w:r>
      <w:r>
        <w:fldChar w:fldCharType="begin"/>
      </w:r>
      <w:r>
        <w:instrText xml:space="preserve"> REF _Ref448147921 \h </w:instrText>
      </w:r>
      <w:r>
        <w:fldChar w:fldCharType="separate"/>
      </w:r>
      <w:r w:rsidR="00E22E13">
        <w:t xml:space="preserve">Figure </w:t>
      </w:r>
      <w:r w:rsidR="00E22E13">
        <w:rPr>
          <w:noProof/>
        </w:rPr>
        <w:t>35</w:t>
      </w:r>
      <w:r>
        <w:fldChar w:fldCharType="end"/>
      </w:r>
      <w:r>
        <w:t xml:space="preserve">. </w:t>
      </w:r>
    </w:p>
    <w:p w:rsidR="00265E4D" w:rsidRDefault="00265E4D" w:rsidP="00265E4D">
      <w:pPr>
        <w:pStyle w:val="Caption"/>
      </w:pPr>
      <w:bookmarkStart w:id="206" w:name="_Ref448147679"/>
      <w:r>
        <w:t xml:space="preserve">Table </w:t>
      </w:r>
      <w:fldSimple w:instr=" SEQ Table \* ARABIC ">
        <w:r w:rsidR="00E22E13">
          <w:rPr>
            <w:noProof/>
          </w:rPr>
          <w:t>12</w:t>
        </w:r>
      </w:fldSimple>
      <w:bookmarkEnd w:id="206"/>
      <w:r>
        <w:t xml:space="preserve">: </w:t>
      </w:r>
      <w:r w:rsidRPr="0082052F">
        <w:t xml:space="preserve">Key resource depletion locations – Limestone, cumulative potential </w:t>
      </w:r>
      <w:r>
        <w:t>production</w:t>
      </w:r>
      <w:r w:rsidRPr="0082052F">
        <w:t xml:space="preserve"> shortfall 2015-2050</w:t>
      </w:r>
    </w:p>
    <w:tbl>
      <w:tblPr>
        <w:tblStyle w:val="Tables-APBase"/>
        <w:tblW w:w="5102" w:type="pct"/>
        <w:tblLayout w:type="fixed"/>
        <w:tblLook w:val="04A0" w:firstRow="1" w:lastRow="0" w:firstColumn="1" w:lastColumn="0" w:noHBand="0" w:noVBand="1"/>
        <w:tblCaption w:val="Table 12"/>
        <w:tblDescription w:val="Table 12 shows key resource depletion locations for limestone based on cumulative potential production shortfall from2015 to 2050.  They are, in descending order, Peri-Urban (Greater Geelong and Yarra Ranges), Outer South West (Corangamite, Glenelg, Moyne and Warnambool), Outer North East (East Gippsland, Strathbogie and Wellington) and Outer North West (Hindmarsh, Horsham, Mildura, Swan Hill, Yarriambiack).&#10;&#10;"/>
      </w:tblPr>
      <w:tblGrid>
        <w:gridCol w:w="1378"/>
        <w:gridCol w:w="4826"/>
        <w:gridCol w:w="2405"/>
      </w:tblGrid>
      <w:tr w:rsidR="00265E4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78" w:type="dxa"/>
          </w:tcPr>
          <w:p w:rsidR="00265E4D" w:rsidRPr="009111C7" w:rsidRDefault="00265E4D" w:rsidP="00265E4D">
            <w:pPr>
              <w:pStyle w:val="TableColumnHeadingSmall"/>
            </w:pPr>
            <w:r w:rsidRPr="009111C7">
              <w:rPr>
                <w:bCs/>
                <w:color w:val="A32020"/>
              </w:rPr>
              <w:t>Region</w:t>
            </w:r>
            <w:r>
              <w:rPr>
                <w:bCs/>
                <w:color w:val="A32020"/>
              </w:rPr>
              <w:t xml:space="preserve"> name</w:t>
            </w:r>
          </w:p>
        </w:tc>
        <w:tc>
          <w:tcPr>
            <w:tcW w:w="4826" w:type="dxa"/>
          </w:tcPr>
          <w:p w:rsidR="00265E4D" w:rsidRPr="009111C7" w:rsidRDefault="00265E4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9111C7">
              <w:rPr>
                <w:bCs/>
                <w:color w:val="A32020"/>
              </w:rPr>
              <w:t>LGAs in region</w:t>
            </w:r>
          </w:p>
        </w:tc>
        <w:tc>
          <w:tcPr>
            <w:tcW w:w="2405" w:type="dxa"/>
          </w:tcPr>
          <w:p w:rsidR="00265E4D" w:rsidRPr="009111C7" w:rsidRDefault="00265E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Pr>
                <w:bCs/>
                <w:color w:val="A32020"/>
              </w:rPr>
              <w:t>Cumulative production shortfall 2015</w:t>
            </w:r>
            <w:r w:rsidR="007303D4">
              <w:rPr>
                <w:bCs/>
                <w:color w:val="A32020"/>
              </w:rPr>
              <w:t xml:space="preserve"> to </w:t>
            </w:r>
            <w:r>
              <w:rPr>
                <w:bCs/>
                <w:color w:val="A32020"/>
              </w:rPr>
              <w:t>2050</w:t>
            </w:r>
            <w:r w:rsidR="00B03DFE">
              <w:rPr>
                <w:bCs/>
                <w:color w:val="A32020"/>
              </w:rPr>
              <w:t xml:space="preserve"> (tonnes)</w:t>
            </w:r>
          </w:p>
        </w:tc>
      </w:tr>
      <w:tr w:rsidR="00265E4D" w:rsidTr="006916CE">
        <w:tc>
          <w:tcPr>
            <w:tcW w:w="1378" w:type="dxa"/>
            <w:vAlign w:val="center"/>
          </w:tcPr>
          <w:p w:rsidR="00265E4D" w:rsidRDefault="00265E4D" w:rsidP="00265E4D">
            <w:pPr>
              <w:pStyle w:val="TableTextSmall"/>
            </w:pPr>
            <w:r w:rsidRPr="00043CD1">
              <w:t>Peri-urban</w:t>
            </w:r>
          </w:p>
        </w:tc>
        <w:tc>
          <w:tcPr>
            <w:tcW w:w="4826" w:type="dxa"/>
            <w:vAlign w:val="center"/>
          </w:tcPr>
          <w:p w:rsidR="00265E4D" w:rsidRDefault="00265E4D" w:rsidP="00265E4D">
            <w:pPr>
              <w:pStyle w:val="TableTextSmall"/>
            </w:pPr>
            <w:r w:rsidRPr="00043CD1">
              <w:t>Greater Geelong (C),Yarra Ranges (S)</w:t>
            </w:r>
          </w:p>
        </w:tc>
        <w:tc>
          <w:tcPr>
            <w:tcW w:w="2405" w:type="dxa"/>
            <w:vAlign w:val="bottom"/>
          </w:tcPr>
          <w:p w:rsidR="00265E4D" w:rsidRPr="00BC3037" w:rsidRDefault="00265E4D" w:rsidP="00265E4D">
            <w:pPr>
              <w:jc w:val="right"/>
              <w:rPr>
                <w:rFonts w:asciiTheme="minorHAnsi" w:hAnsiTheme="minorHAnsi" w:cstheme="minorHAnsi"/>
                <w:sz w:val="16"/>
                <w:szCs w:val="16"/>
              </w:rPr>
            </w:pPr>
            <w:r w:rsidRPr="00BC3037">
              <w:rPr>
                <w:rFonts w:asciiTheme="minorHAnsi" w:hAnsiTheme="minorHAnsi" w:cstheme="minorHAnsi"/>
                <w:sz w:val="16"/>
                <w:szCs w:val="16"/>
              </w:rPr>
              <w:t>22,100,081</w:t>
            </w:r>
          </w:p>
        </w:tc>
      </w:tr>
      <w:tr w:rsidR="00265E4D" w:rsidTr="006916CE">
        <w:tc>
          <w:tcPr>
            <w:tcW w:w="1378" w:type="dxa"/>
            <w:vAlign w:val="center"/>
          </w:tcPr>
          <w:p w:rsidR="00265E4D" w:rsidRDefault="00265E4D" w:rsidP="00265E4D">
            <w:pPr>
              <w:pStyle w:val="TableTextSmall"/>
            </w:pPr>
            <w:r w:rsidRPr="00043CD1">
              <w:t>Outer South West</w:t>
            </w:r>
          </w:p>
        </w:tc>
        <w:tc>
          <w:tcPr>
            <w:tcW w:w="4826" w:type="dxa"/>
            <w:vAlign w:val="center"/>
          </w:tcPr>
          <w:p w:rsidR="00265E4D" w:rsidRDefault="00265E4D" w:rsidP="00265E4D">
            <w:pPr>
              <w:pStyle w:val="TableTextSmall"/>
            </w:pPr>
            <w:r w:rsidRPr="00043CD1">
              <w:t>Corangamite (S),Glenelg (S),Moyne (S),Warrnambool (C)</w:t>
            </w:r>
          </w:p>
        </w:tc>
        <w:tc>
          <w:tcPr>
            <w:tcW w:w="2405" w:type="dxa"/>
            <w:vAlign w:val="bottom"/>
          </w:tcPr>
          <w:p w:rsidR="00265E4D" w:rsidRPr="00BC3037" w:rsidRDefault="00265E4D" w:rsidP="00265E4D">
            <w:pPr>
              <w:jc w:val="right"/>
              <w:rPr>
                <w:rFonts w:asciiTheme="minorHAnsi" w:hAnsiTheme="minorHAnsi" w:cstheme="minorHAnsi"/>
                <w:sz w:val="16"/>
                <w:szCs w:val="16"/>
              </w:rPr>
            </w:pPr>
            <w:r w:rsidRPr="00BC3037">
              <w:rPr>
                <w:rFonts w:asciiTheme="minorHAnsi" w:hAnsiTheme="minorHAnsi" w:cstheme="minorHAnsi"/>
                <w:sz w:val="16"/>
                <w:szCs w:val="16"/>
              </w:rPr>
              <w:t>13,736,810</w:t>
            </w:r>
          </w:p>
        </w:tc>
      </w:tr>
      <w:tr w:rsidR="00265E4D" w:rsidTr="006916CE">
        <w:tc>
          <w:tcPr>
            <w:tcW w:w="1378" w:type="dxa"/>
            <w:vAlign w:val="center"/>
          </w:tcPr>
          <w:p w:rsidR="00265E4D" w:rsidRDefault="00265E4D" w:rsidP="00265E4D">
            <w:pPr>
              <w:pStyle w:val="TableTextSmall"/>
            </w:pPr>
            <w:r w:rsidRPr="00043CD1">
              <w:t>Outer North East</w:t>
            </w:r>
          </w:p>
        </w:tc>
        <w:tc>
          <w:tcPr>
            <w:tcW w:w="4826" w:type="dxa"/>
            <w:vAlign w:val="center"/>
          </w:tcPr>
          <w:p w:rsidR="00265E4D" w:rsidRDefault="00265E4D" w:rsidP="00265E4D">
            <w:pPr>
              <w:pStyle w:val="TableTextSmall"/>
            </w:pPr>
            <w:r w:rsidRPr="00043CD1">
              <w:t>East Gippsland (S),Strathbogie (S),Wellington (S)</w:t>
            </w:r>
          </w:p>
        </w:tc>
        <w:tc>
          <w:tcPr>
            <w:tcW w:w="2405" w:type="dxa"/>
            <w:vAlign w:val="bottom"/>
          </w:tcPr>
          <w:p w:rsidR="00265E4D" w:rsidRPr="00BC3037" w:rsidRDefault="00265E4D" w:rsidP="00265E4D">
            <w:pPr>
              <w:jc w:val="right"/>
              <w:rPr>
                <w:rFonts w:asciiTheme="minorHAnsi" w:hAnsiTheme="minorHAnsi" w:cstheme="minorHAnsi"/>
                <w:sz w:val="16"/>
                <w:szCs w:val="16"/>
              </w:rPr>
            </w:pPr>
            <w:r w:rsidRPr="00BC3037">
              <w:rPr>
                <w:rFonts w:asciiTheme="minorHAnsi" w:hAnsiTheme="minorHAnsi" w:cstheme="minorHAnsi"/>
                <w:sz w:val="16"/>
                <w:szCs w:val="16"/>
              </w:rPr>
              <w:t>6,614,060</w:t>
            </w:r>
          </w:p>
        </w:tc>
      </w:tr>
      <w:tr w:rsidR="00265E4D" w:rsidTr="006916CE">
        <w:tc>
          <w:tcPr>
            <w:tcW w:w="1378" w:type="dxa"/>
            <w:vAlign w:val="center"/>
          </w:tcPr>
          <w:p w:rsidR="00265E4D" w:rsidRDefault="00265E4D" w:rsidP="00265E4D">
            <w:pPr>
              <w:pStyle w:val="TableTextSmall"/>
            </w:pPr>
            <w:r w:rsidRPr="00043CD1">
              <w:t>Outer North West</w:t>
            </w:r>
          </w:p>
        </w:tc>
        <w:tc>
          <w:tcPr>
            <w:tcW w:w="4826" w:type="dxa"/>
            <w:vAlign w:val="center"/>
          </w:tcPr>
          <w:p w:rsidR="00265E4D" w:rsidRDefault="00265E4D" w:rsidP="00265E4D">
            <w:pPr>
              <w:pStyle w:val="TableTextSmall"/>
            </w:pPr>
            <w:r w:rsidRPr="00043CD1">
              <w:t>Hindmarsh (S),Horsham (RC),Mildura (RC),Swan Hill (RC),Yarriambiack (S)</w:t>
            </w:r>
          </w:p>
        </w:tc>
        <w:tc>
          <w:tcPr>
            <w:tcW w:w="2405" w:type="dxa"/>
            <w:vAlign w:val="bottom"/>
          </w:tcPr>
          <w:p w:rsidR="00265E4D" w:rsidRPr="00BC3037" w:rsidRDefault="00265E4D" w:rsidP="00265E4D">
            <w:pPr>
              <w:jc w:val="right"/>
              <w:rPr>
                <w:rFonts w:asciiTheme="minorHAnsi" w:hAnsiTheme="minorHAnsi" w:cstheme="minorHAnsi"/>
                <w:sz w:val="16"/>
                <w:szCs w:val="16"/>
              </w:rPr>
            </w:pPr>
            <w:r w:rsidRPr="00BC3037">
              <w:rPr>
                <w:rFonts w:asciiTheme="minorHAnsi" w:hAnsiTheme="minorHAnsi" w:cstheme="minorHAnsi"/>
                <w:sz w:val="16"/>
                <w:szCs w:val="16"/>
              </w:rPr>
              <w:t>2,171,303</w:t>
            </w:r>
          </w:p>
        </w:tc>
      </w:tr>
    </w:tbl>
    <w:p w:rsidR="00265E4D" w:rsidRDefault="00265E4D" w:rsidP="00265E4D">
      <w:pPr>
        <w:pStyle w:val="Sources"/>
      </w:pPr>
      <w:r>
        <w:t>Source: PwC analysis</w:t>
      </w:r>
    </w:p>
    <w:p w:rsidR="00265E4D" w:rsidRDefault="00341081" w:rsidP="00265E4D">
      <w:pPr>
        <w:pStyle w:val="Minorheading3"/>
        <w:rPr>
          <w:rFonts w:ascii="Georgia" w:hAnsi="Georgia"/>
          <w:i w:val="0"/>
          <w:color w:val="auto"/>
          <w:szCs w:val="20"/>
        </w:rPr>
      </w:pPr>
      <w:r>
        <w:rPr>
          <w:rFonts w:ascii="Georgia" w:hAnsi="Georgia"/>
          <w:i w:val="0"/>
          <w:color w:val="auto"/>
          <w:szCs w:val="20"/>
        </w:rPr>
        <w:t>T</w:t>
      </w:r>
      <w:r w:rsidR="00265E4D">
        <w:rPr>
          <w:rFonts w:ascii="Georgia" w:hAnsi="Georgia"/>
          <w:i w:val="0"/>
          <w:color w:val="auto"/>
          <w:szCs w:val="20"/>
        </w:rPr>
        <w:t>he Peri-urban and Outer South West regions have been identified as critical areas of limestone resource exhaustion; these locations exhibit potential production shortfalls across 2015</w:t>
      </w:r>
      <w:r w:rsidR="007303D4">
        <w:rPr>
          <w:rFonts w:ascii="Georgia" w:hAnsi="Georgia"/>
          <w:i w:val="0"/>
          <w:color w:val="auto"/>
          <w:szCs w:val="20"/>
        </w:rPr>
        <w:t xml:space="preserve"> to 20</w:t>
      </w:r>
      <w:r w:rsidR="00265E4D">
        <w:rPr>
          <w:rFonts w:ascii="Georgia" w:hAnsi="Georgia"/>
          <w:i w:val="0"/>
          <w:color w:val="auto"/>
          <w:szCs w:val="20"/>
        </w:rPr>
        <w:t xml:space="preserve">50 of 22 million tonnes and nearly 14 million tonnes respectively. </w:t>
      </w:r>
    </w:p>
    <w:p w:rsidR="00265E4D" w:rsidRDefault="00265E4D" w:rsidP="00265E4D">
      <w:pPr>
        <w:pStyle w:val="Minorheading3"/>
        <w:rPr>
          <w:rFonts w:ascii="Georgia" w:hAnsi="Georgia"/>
          <w:i w:val="0"/>
          <w:color w:val="auto"/>
          <w:szCs w:val="20"/>
        </w:rPr>
        <w:sectPr w:rsidR="00265E4D" w:rsidSect="001A7D05">
          <w:pgSz w:w="11907" w:h="16840" w:code="9"/>
          <w:pgMar w:top="1588" w:right="1843" w:bottom="1418" w:left="1843" w:header="567" w:footer="567" w:gutter="0"/>
          <w:cols w:space="227"/>
          <w:docGrid w:linePitch="360"/>
        </w:sectPr>
      </w:pPr>
      <w:r>
        <w:rPr>
          <w:rFonts w:ascii="Georgia" w:hAnsi="Georgia"/>
          <w:i w:val="0"/>
          <w:color w:val="auto"/>
          <w:szCs w:val="20"/>
        </w:rPr>
        <w:t xml:space="preserve">The production shortfall in the Peri-urban region is in part a result of the ceased operations of Sibelco’s Lilydale quarry site in the Yarra Ranges after 138 years of </w:t>
      </w:r>
      <w:r w:rsidRPr="006814F5">
        <w:rPr>
          <w:rFonts w:ascii="Georgia" w:hAnsi="Georgia"/>
          <w:i w:val="0"/>
          <w:color w:val="auto"/>
          <w:szCs w:val="20"/>
        </w:rPr>
        <w:t>producing quicklime, hydrated lime and associated products</w:t>
      </w:r>
      <w:r>
        <w:rPr>
          <w:rFonts w:ascii="Georgia" w:hAnsi="Georgia"/>
          <w:i w:val="0"/>
          <w:color w:val="auto"/>
          <w:szCs w:val="20"/>
        </w:rPr>
        <w:t>.</w:t>
      </w:r>
      <w:r>
        <w:rPr>
          <w:rStyle w:val="FootnoteReference"/>
          <w:rFonts w:ascii="Georgia" w:hAnsi="Georgia"/>
          <w:i w:val="0"/>
          <w:color w:val="auto"/>
          <w:szCs w:val="20"/>
        </w:rPr>
        <w:footnoteReference w:id="22"/>
      </w:r>
      <w:r>
        <w:rPr>
          <w:rFonts w:ascii="Georgia" w:hAnsi="Georgia"/>
          <w:i w:val="0"/>
          <w:color w:val="auto"/>
          <w:szCs w:val="20"/>
        </w:rPr>
        <w:t xml:space="preserve"> </w:t>
      </w:r>
    </w:p>
    <w:p w:rsidR="00265E4D" w:rsidRDefault="00265E4D" w:rsidP="00265E4D">
      <w:pPr>
        <w:pStyle w:val="Minorheading2"/>
      </w:pPr>
      <w:bookmarkStart w:id="207" w:name="_Ref448147921"/>
      <w:r>
        <w:t xml:space="preserve">Figure </w:t>
      </w:r>
      <w:fldSimple w:instr=" SEQ Figure \* ARABIC ">
        <w:r w:rsidR="00E22E13">
          <w:rPr>
            <w:noProof/>
          </w:rPr>
          <w:t>35</w:t>
        </w:r>
      </w:fldSimple>
      <w:bookmarkEnd w:id="207"/>
      <w:r>
        <w:t xml:space="preserve">: </w:t>
      </w:r>
      <w:r w:rsidRPr="005A67C7">
        <w:t xml:space="preserve">Key resource depletion locations – Limestone (cumulative potential </w:t>
      </w:r>
      <w:r>
        <w:t xml:space="preserve">production </w:t>
      </w:r>
      <w:r w:rsidRPr="005A67C7">
        <w:t>shortfall 2015</w:t>
      </w:r>
      <w:r w:rsidR="007303D4">
        <w:t xml:space="preserve"> to </w:t>
      </w:r>
      <w:r w:rsidRPr="005A67C7">
        <w:t>2050)</w:t>
      </w:r>
    </w:p>
    <w:p w:rsidR="00265E4D" w:rsidRPr="004F101C" w:rsidRDefault="00482534" w:rsidP="00265E4D">
      <w:pPr>
        <w:pStyle w:val="Sources"/>
        <w:rPr>
          <w:lang w:eastAsia="en-AU"/>
        </w:rPr>
      </w:pPr>
      <w:r>
        <w:rPr>
          <w:noProof/>
          <w:snapToGrid/>
          <w:lang w:eastAsia="en-AU"/>
        </w:rPr>
        <w:drawing>
          <wp:inline distT="0" distB="0" distL="0" distR="0" wp14:anchorId="6FF5355A" wp14:editId="2D0CC40B">
            <wp:extent cx="6666271" cy="4771084"/>
            <wp:effectExtent l="0" t="0" r="1270" b="0"/>
            <wp:docPr id="15395" name="Picture 15395" descr="Figure 35 shows a map of LGAs which represent key resource depletion locations for limestone based on cumulative potential production shortfall between 2015 and 2050. "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667539" cy="4771992"/>
                    </a:xfrm>
                    <a:prstGeom prst="rect">
                      <a:avLst/>
                    </a:prstGeom>
                  </pic:spPr>
                </pic:pic>
              </a:graphicData>
            </a:graphic>
          </wp:inline>
        </w:drawing>
      </w:r>
      <w:r w:rsidR="00265E4D">
        <w:rPr>
          <w:lang w:eastAsia="en-AU"/>
        </w:rPr>
        <w:t>S</w:t>
      </w:r>
      <w:r w:rsidR="00265E4D" w:rsidRPr="004F101C">
        <w:rPr>
          <w:lang w:eastAsia="en-AU"/>
        </w:rPr>
        <w:t>ource: PwC analysis</w:t>
      </w:r>
    </w:p>
    <w:p w:rsidR="00265E4D" w:rsidRDefault="00265E4D" w:rsidP="00265E4D">
      <w:pPr>
        <w:kinsoku/>
        <w:overflowPunct/>
        <w:snapToGrid/>
        <w:rPr>
          <w:rFonts w:ascii="Arial" w:hAnsi="Arial"/>
          <w:snapToGrid/>
          <w:color w:val="000000"/>
          <w:highlight w:val="yellow"/>
          <w:lang w:eastAsia="en-AU"/>
        </w:rPr>
        <w:sectPr w:rsidR="00265E4D" w:rsidSect="001A7D05">
          <w:pgSz w:w="16840" w:h="11907" w:orient="landscape" w:code="9"/>
          <w:pgMar w:top="1843" w:right="1588" w:bottom="1843" w:left="1418" w:header="567" w:footer="567" w:gutter="0"/>
          <w:cols w:space="227"/>
          <w:docGrid w:linePitch="360"/>
        </w:sectPr>
      </w:pPr>
    </w:p>
    <w:p w:rsidR="00265E4D" w:rsidRDefault="00265E4D" w:rsidP="00265E4D">
      <w:pPr>
        <w:pStyle w:val="Heading7"/>
      </w:pPr>
      <w:r>
        <w:t>Clay and clay shale</w:t>
      </w:r>
    </w:p>
    <w:p w:rsidR="00265E4D" w:rsidRDefault="00265E4D" w:rsidP="00265E4D">
      <w:pPr>
        <w:pStyle w:val="PwCNormal"/>
      </w:pPr>
      <w:r>
        <w:t xml:space="preserve">Key clay and clay shale resource depletion locations are listed in </w:t>
      </w:r>
      <w:r>
        <w:fldChar w:fldCharType="begin"/>
      </w:r>
      <w:r>
        <w:instrText xml:space="preserve"> REF _Ref448142730 \h </w:instrText>
      </w:r>
      <w:r>
        <w:fldChar w:fldCharType="separate"/>
      </w:r>
      <w:r w:rsidR="00E22E13">
        <w:t xml:space="preserve">Table </w:t>
      </w:r>
      <w:r w:rsidR="00E22E13">
        <w:rPr>
          <w:noProof/>
        </w:rPr>
        <w:t>13</w:t>
      </w:r>
      <w:r>
        <w:fldChar w:fldCharType="end"/>
      </w:r>
      <w:r>
        <w:t>.</w:t>
      </w:r>
    </w:p>
    <w:p w:rsidR="00265E4D" w:rsidRDefault="00265E4D" w:rsidP="00265E4D">
      <w:pPr>
        <w:pStyle w:val="Caption"/>
      </w:pPr>
      <w:bookmarkStart w:id="208" w:name="_Ref448142730"/>
      <w:r>
        <w:t xml:space="preserve">Table </w:t>
      </w:r>
      <w:fldSimple w:instr=" SEQ Table \* ARABIC ">
        <w:r w:rsidR="00E22E13">
          <w:rPr>
            <w:noProof/>
          </w:rPr>
          <w:t>13</w:t>
        </w:r>
      </w:fldSimple>
      <w:bookmarkEnd w:id="208"/>
      <w:r>
        <w:t xml:space="preserve">: </w:t>
      </w:r>
      <w:r w:rsidRPr="003F3DC9">
        <w:t xml:space="preserve">Key resource depletion locations – Clay and clay shale, cumulative potential </w:t>
      </w:r>
      <w:r>
        <w:t xml:space="preserve">production </w:t>
      </w:r>
      <w:r w:rsidRPr="003F3DC9">
        <w:t>shortfall 2015</w:t>
      </w:r>
      <w:r w:rsidR="007303D4">
        <w:t xml:space="preserve"> to </w:t>
      </w:r>
      <w:r w:rsidRPr="003F3DC9">
        <w:t>2050</w:t>
      </w:r>
    </w:p>
    <w:tbl>
      <w:tblPr>
        <w:tblStyle w:val="Tables-APBase"/>
        <w:tblW w:w="4852" w:type="pct"/>
        <w:tblLayout w:type="fixed"/>
        <w:tblLook w:val="04A0" w:firstRow="1" w:lastRow="0" w:firstColumn="1" w:lastColumn="0" w:noHBand="0" w:noVBand="1"/>
        <w:tblCaption w:val="Table 13"/>
        <w:tblDescription w:val="Table 13 shows key resource depletion locations for clay and clay shale based on cumulative potential production shortfall from2015 to 2050.  They are, in descending order, Inner West (Ballarat, Golden Plains and Moorabool), Outer North East (Latrobe, Moira, Wellington), Inner East (Knox, Mornington Peninsula, Whitehorse, Yarra Ranges), Outer West (Northern Grampians, Southern Grampians) and Inner North (Greater Bendigo, Mitchell and Whittlesea). "/>
      </w:tblPr>
      <w:tblGrid>
        <w:gridCol w:w="1667"/>
        <w:gridCol w:w="4537"/>
        <w:gridCol w:w="1983"/>
      </w:tblGrid>
      <w:tr w:rsidR="00265E4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dxa"/>
          </w:tcPr>
          <w:p w:rsidR="00265E4D" w:rsidRPr="009111C7" w:rsidRDefault="00265E4D" w:rsidP="00265E4D">
            <w:pPr>
              <w:pStyle w:val="TableColumnHeadingSmall"/>
            </w:pPr>
            <w:r w:rsidRPr="009111C7">
              <w:rPr>
                <w:bCs/>
                <w:color w:val="A32020"/>
              </w:rPr>
              <w:t>Region</w:t>
            </w:r>
            <w:r>
              <w:rPr>
                <w:bCs/>
                <w:color w:val="A32020"/>
              </w:rPr>
              <w:t xml:space="preserve"> name</w:t>
            </w:r>
          </w:p>
        </w:tc>
        <w:tc>
          <w:tcPr>
            <w:tcW w:w="4537" w:type="dxa"/>
          </w:tcPr>
          <w:p w:rsidR="00265E4D" w:rsidRPr="009111C7" w:rsidRDefault="00265E4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9111C7">
              <w:rPr>
                <w:bCs/>
                <w:color w:val="A32020"/>
              </w:rPr>
              <w:t>LGAs in region</w:t>
            </w:r>
          </w:p>
        </w:tc>
        <w:tc>
          <w:tcPr>
            <w:tcW w:w="1983" w:type="dxa"/>
            <w:vAlign w:val="center"/>
          </w:tcPr>
          <w:p w:rsidR="00265E4D" w:rsidRPr="009111C7" w:rsidRDefault="00265E4D"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Pr>
                <w:bCs/>
                <w:color w:val="A32020"/>
              </w:rPr>
              <w:t>Cumulative potential production shortfall 2015</w:t>
            </w:r>
            <w:r w:rsidR="007303D4">
              <w:rPr>
                <w:bCs/>
                <w:color w:val="A32020"/>
              </w:rPr>
              <w:t xml:space="preserve"> to </w:t>
            </w:r>
            <w:r>
              <w:rPr>
                <w:bCs/>
                <w:color w:val="A32020"/>
              </w:rPr>
              <w:t>2050</w:t>
            </w:r>
            <w:r w:rsidR="00B03DFE">
              <w:rPr>
                <w:bCs/>
                <w:color w:val="A32020"/>
              </w:rPr>
              <w:t xml:space="preserve"> (tonnes)</w:t>
            </w:r>
          </w:p>
        </w:tc>
      </w:tr>
      <w:tr w:rsidR="00265E4D" w:rsidTr="006916CE">
        <w:tc>
          <w:tcPr>
            <w:tcW w:w="1667" w:type="dxa"/>
            <w:vAlign w:val="center"/>
          </w:tcPr>
          <w:p w:rsidR="00265E4D" w:rsidRDefault="00265E4D" w:rsidP="00265E4D">
            <w:pPr>
              <w:pStyle w:val="TableTextSmall"/>
              <w:keepNext/>
            </w:pPr>
            <w:r>
              <w:rPr>
                <w:color w:val="000000"/>
                <w:szCs w:val="16"/>
              </w:rPr>
              <w:t>Inner West</w:t>
            </w:r>
          </w:p>
        </w:tc>
        <w:tc>
          <w:tcPr>
            <w:tcW w:w="4537" w:type="dxa"/>
            <w:vAlign w:val="center"/>
          </w:tcPr>
          <w:p w:rsidR="00265E4D" w:rsidRDefault="00265E4D" w:rsidP="00265E4D">
            <w:pPr>
              <w:pStyle w:val="TableTextSmall"/>
              <w:keepNext/>
            </w:pPr>
            <w:r>
              <w:rPr>
                <w:color w:val="000000"/>
                <w:szCs w:val="16"/>
              </w:rPr>
              <w:t>Ballarat (C),Golden Plains (S),Moorabool (S)</w:t>
            </w:r>
          </w:p>
        </w:tc>
        <w:tc>
          <w:tcPr>
            <w:tcW w:w="1983" w:type="dxa"/>
            <w:vAlign w:val="center"/>
          </w:tcPr>
          <w:p w:rsidR="00265E4D" w:rsidRPr="003A2D99" w:rsidRDefault="00265E4D" w:rsidP="00265E4D">
            <w:pPr>
              <w:keepNext/>
              <w:jc w:val="right"/>
              <w:rPr>
                <w:rFonts w:asciiTheme="minorHAnsi" w:hAnsiTheme="minorHAnsi" w:cstheme="minorHAnsi"/>
                <w:sz w:val="16"/>
                <w:szCs w:val="16"/>
              </w:rPr>
            </w:pPr>
            <w:r w:rsidRPr="003A2D99">
              <w:rPr>
                <w:rFonts w:asciiTheme="minorHAnsi" w:hAnsiTheme="minorHAnsi" w:cstheme="minorHAnsi"/>
                <w:sz w:val="16"/>
                <w:szCs w:val="16"/>
              </w:rPr>
              <w:t>7,720,142</w:t>
            </w:r>
          </w:p>
        </w:tc>
      </w:tr>
      <w:tr w:rsidR="00265E4D" w:rsidTr="006916CE">
        <w:tc>
          <w:tcPr>
            <w:tcW w:w="1667" w:type="dxa"/>
            <w:vAlign w:val="center"/>
          </w:tcPr>
          <w:p w:rsidR="00265E4D" w:rsidRDefault="00265E4D" w:rsidP="00265E4D">
            <w:pPr>
              <w:pStyle w:val="TableTextSmall"/>
              <w:keepNext/>
            </w:pPr>
            <w:r>
              <w:rPr>
                <w:color w:val="000000"/>
                <w:szCs w:val="16"/>
              </w:rPr>
              <w:t>Outer North East</w:t>
            </w:r>
          </w:p>
        </w:tc>
        <w:tc>
          <w:tcPr>
            <w:tcW w:w="4537" w:type="dxa"/>
            <w:vAlign w:val="center"/>
          </w:tcPr>
          <w:p w:rsidR="00265E4D" w:rsidRDefault="00265E4D" w:rsidP="00265E4D">
            <w:pPr>
              <w:pStyle w:val="TableTextSmall"/>
              <w:keepNext/>
            </w:pPr>
            <w:r>
              <w:rPr>
                <w:color w:val="000000"/>
                <w:szCs w:val="16"/>
              </w:rPr>
              <w:t>Latrobe (C),Moira (S),Wellington (S)</w:t>
            </w:r>
          </w:p>
        </w:tc>
        <w:tc>
          <w:tcPr>
            <w:tcW w:w="1983" w:type="dxa"/>
            <w:vAlign w:val="center"/>
          </w:tcPr>
          <w:p w:rsidR="00265E4D" w:rsidRPr="003A2D99" w:rsidRDefault="00265E4D" w:rsidP="00265E4D">
            <w:pPr>
              <w:keepNext/>
              <w:jc w:val="right"/>
              <w:rPr>
                <w:rFonts w:asciiTheme="minorHAnsi" w:hAnsiTheme="minorHAnsi" w:cstheme="minorHAnsi"/>
                <w:sz w:val="16"/>
                <w:szCs w:val="16"/>
              </w:rPr>
            </w:pPr>
            <w:r w:rsidRPr="003A2D99">
              <w:rPr>
                <w:rFonts w:asciiTheme="minorHAnsi" w:hAnsiTheme="minorHAnsi" w:cstheme="minorHAnsi"/>
                <w:sz w:val="16"/>
                <w:szCs w:val="16"/>
              </w:rPr>
              <w:t>4,741,395</w:t>
            </w:r>
          </w:p>
        </w:tc>
      </w:tr>
      <w:tr w:rsidR="00265E4D" w:rsidTr="006916CE">
        <w:tc>
          <w:tcPr>
            <w:tcW w:w="1667" w:type="dxa"/>
            <w:vAlign w:val="center"/>
          </w:tcPr>
          <w:p w:rsidR="00265E4D" w:rsidRDefault="00265E4D" w:rsidP="00265E4D">
            <w:pPr>
              <w:pStyle w:val="TableTextSmall"/>
              <w:keepNext/>
            </w:pPr>
            <w:r>
              <w:rPr>
                <w:color w:val="000000"/>
                <w:szCs w:val="16"/>
              </w:rPr>
              <w:t>Inner East</w:t>
            </w:r>
          </w:p>
        </w:tc>
        <w:tc>
          <w:tcPr>
            <w:tcW w:w="4537" w:type="dxa"/>
            <w:vAlign w:val="center"/>
          </w:tcPr>
          <w:p w:rsidR="00265E4D" w:rsidRDefault="00265E4D" w:rsidP="00265E4D">
            <w:pPr>
              <w:pStyle w:val="TableTextSmall"/>
              <w:keepNext/>
            </w:pPr>
            <w:r>
              <w:rPr>
                <w:color w:val="000000"/>
                <w:szCs w:val="16"/>
              </w:rPr>
              <w:t>Knox (C),Mornington Peninsula (S),Whitehorse (C),Yarra Ranges (S)</w:t>
            </w:r>
          </w:p>
        </w:tc>
        <w:tc>
          <w:tcPr>
            <w:tcW w:w="1983" w:type="dxa"/>
            <w:vAlign w:val="center"/>
          </w:tcPr>
          <w:p w:rsidR="00265E4D" w:rsidRPr="003A2D99" w:rsidRDefault="00265E4D" w:rsidP="00265E4D">
            <w:pPr>
              <w:keepNext/>
              <w:jc w:val="right"/>
              <w:rPr>
                <w:rFonts w:asciiTheme="minorHAnsi" w:hAnsiTheme="minorHAnsi" w:cstheme="minorHAnsi"/>
                <w:sz w:val="16"/>
                <w:szCs w:val="16"/>
              </w:rPr>
            </w:pPr>
            <w:r w:rsidRPr="003A2D99">
              <w:rPr>
                <w:rFonts w:asciiTheme="minorHAnsi" w:hAnsiTheme="minorHAnsi" w:cstheme="minorHAnsi"/>
                <w:sz w:val="16"/>
                <w:szCs w:val="16"/>
              </w:rPr>
              <w:t>3,185,546</w:t>
            </w:r>
          </w:p>
        </w:tc>
      </w:tr>
      <w:tr w:rsidR="00265E4D" w:rsidTr="006916CE">
        <w:tc>
          <w:tcPr>
            <w:tcW w:w="1667" w:type="dxa"/>
            <w:vAlign w:val="center"/>
          </w:tcPr>
          <w:p w:rsidR="00265E4D" w:rsidRDefault="00265E4D" w:rsidP="00265E4D">
            <w:pPr>
              <w:pStyle w:val="TableTextSmall"/>
              <w:keepNext/>
            </w:pPr>
            <w:r>
              <w:rPr>
                <w:color w:val="000000"/>
                <w:szCs w:val="16"/>
              </w:rPr>
              <w:t>Outer West</w:t>
            </w:r>
          </w:p>
        </w:tc>
        <w:tc>
          <w:tcPr>
            <w:tcW w:w="4537" w:type="dxa"/>
            <w:vAlign w:val="center"/>
          </w:tcPr>
          <w:p w:rsidR="00265E4D" w:rsidRDefault="00265E4D" w:rsidP="00265E4D">
            <w:pPr>
              <w:pStyle w:val="TableTextSmall"/>
              <w:keepNext/>
            </w:pPr>
            <w:r>
              <w:rPr>
                <w:color w:val="000000"/>
                <w:szCs w:val="16"/>
              </w:rPr>
              <w:t>Northern Grampians (S),Southern Grampians (S)</w:t>
            </w:r>
          </w:p>
        </w:tc>
        <w:tc>
          <w:tcPr>
            <w:tcW w:w="1983" w:type="dxa"/>
            <w:vAlign w:val="center"/>
          </w:tcPr>
          <w:p w:rsidR="00265E4D" w:rsidRPr="003A2D99" w:rsidRDefault="00265E4D" w:rsidP="00265E4D">
            <w:pPr>
              <w:keepNext/>
              <w:jc w:val="right"/>
              <w:rPr>
                <w:rFonts w:asciiTheme="minorHAnsi" w:hAnsiTheme="minorHAnsi" w:cstheme="minorHAnsi"/>
                <w:sz w:val="16"/>
                <w:szCs w:val="16"/>
              </w:rPr>
            </w:pPr>
            <w:r w:rsidRPr="003A2D99">
              <w:rPr>
                <w:rFonts w:asciiTheme="minorHAnsi" w:hAnsiTheme="minorHAnsi" w:cstheme="minorHAnsi"/>
                <w:sz w:val="16"/>
                <w:szCs w:val="16"/>
              </w:rPr>
              <w:t>403,256</w:t>
            </w:r>
          </w:p>
        </w:tc>
      </w:tr>
      <w:tr w:rsidR="00265E4D" w:rsidTr="006916CE">
        <w:tc>
          <w:tcPr>
            <w:tcW w:w="1667" w:type="dxa"/>
            <w:vAlign w:val="center"/>
          </w:tcPr>
          <w:p w:rsidR="00265E4D" w:rsidRDefault="00265E4D" w:rsidP="00265E4D">
            <w:pPr>
              <w:pStyle w:val="TableTextSmall"/>
              <w:keepNext/>
            </w:pPr>
            <w:r>
              <w:rPr>
                <w:color w:val="000000"/>
                <w:szCs w:val="16"/>
              </w:rPr>
              <w:t>Inner North</w:t>
            </w:r>
          </w:p>
        </w:tc>
        <w:tc>
          <w:tcPr>
            <w:tcW w:w="4537" w:type="dxa"/>
            <w:vAlign w:val="center"/>
          </w:tcPr>
          <w:p w:rsidR="00265E4D" w:rsidRDefault="00265E4D" w:rsidP="00265E4D">
            <w:pPr>
              <w:pStyle w:val="TableTextSmall"/>
              <w:keepNext/>
            </w:pPr>
            <w:r>
              <w:rPr>
                <w:color w:val="000000"/>
                <w:szCs w:val="16"/>
              </w:rPr>
              <w:t>Greater Bendigo (C),Mitchell (S),Whittlesea (C)</w:t>
            </w:r>
          </w:p>
        </w:tc>
        <w:tc>
          <w:tcPr>
            <w:tcW w:w="1983" w:type="dxa"/>
            <w:vAlign w:val="center"/>
          </w:tcPr>
          <w:p w:rsidR="00265E4D" w:rsidRPr="003A2D99" w:rsidRDefault="00265E4D" w:rsidP="00265E4D">
            <w:pPr>
              <w:keepNext/>
              <w:jc w:val="right"/>
              <w:rPr>
                <w:rFonts w:asciiTheme="minorHAnsi" w:hAnsiTheme="minorHAnsi" w:cstheme="minorHAnsi"/>
                <w:sz w:val="16"/>
                <w:szCs w:val="16"/>
              </w:rPr>
            </w:pPr>
            <w:r w:rsidRPr="003A2D99">
              <w:rPr>
                <w:rFonts w:asciiTheme="minorHAnsi" w:hAnsiTheme="minorHAnsi" w:cstheme="minorHAnsi"/>
                <w:sz w:val="16"/>
                <w:szCs w:val="16"/>
              </w:rPr>
              <w:t>43,630</w:t>
            </w:r>
          </w:p>
        </w:tc>
      </w:tr>
    </w:tbl>
    <w:p w:rsidR="00265E4D" w:rsidRDefault="00265E4D" w:rsidP="00265E4D">
      <w:pPr>
        <w:pStyle w:val="Sources"/>
        <w:keepNext/>
      </w:pPr>
      <w:r>
        <w:t>Source: PwC analysis</w:t>
      </w:r>
    </w:p>
    <w:p w:rsidR="00265E4D" w:rsidRDefault="00265E4D" w:rsidP="00265E4D">
      <w:pPr>
        <w:pStyle w:val="PwCNormal"/>
      </w:pPr>
      <w:r w:rsidRPr="009A417A">
        <w:t xml:space="preserve">This shows that although the Inner North area is a top location for identifying new </w:t>
      </w:r>
      <w:r>
        <w:t>quarries</w:t>
      </w:r>
      <w:r w:rsidRPr="009A417A">
        <w:t xml:space="preserve"> in an attempt to replace depleting clay and clay shale, the Inner West area </w:t>
      </w:r>
      <w:r w:rsidR="00341081">
        <w:t>(</w:t>
      </w:r>
      <w:r w:rsidRPr="009A417A">
        <w:t>represented by Ballarat, Golden Plains, and Moorabool</w:t>
      </w:r>
      <w:r w:rsidR="00341081">
        <w:t xml:space="preserve">) </w:t>
      </w:r>
      <w:r w:rsidRPr="009A417A">
        <w:t xml:space="preserve">will </w:t>
      </w:r>
      <w:r w:rsidR="00341081">
        <w:t xml:space="preserve">experience a </w:t>
      </w:r>
      <w:r w:rsidRPr="009A417A">
        <w:t xml:space="preserve">significant </w:t>
      </w:r>
      <w:r w:rsidRPr="00D152E1">
        <w:rPr>
          <w:bCs/>
        </w:rPr>
        <w:t xml:space="preserve">potential </w:t>
      </w:r>
      <w:r>
        <w:rPr>
          <w:bCs/>
        </w:rPr>
        <w:t>production</w:t>
      </w:r>
      <w:r w:rsidRPr="00D152E1">
        <w:rPr>
          <w:bCs/>
        </w:rPr>
        <w:t xml:space="preserve"> shortfall </w:t>
      </w:r>
      <w:r w:rsidRPr="00D152E1">
        <w:t>of clay a</w:t>
      </w:r>
      <w:r w:rsidRPr="009A417A">
        <w:t xml:space="preserve">nd clay shale </w:t>
      </w:r>
      <w:r w:rsidR="00341081">
        <w:t xml:space="preserve">of </w:t>
      </w:r>
      <w:r w:rsidRPr="009A417A">
        <w:t>nearly 8 million tonnes</w:t>
      </w:r>
      <w:r>
        <w:t xml:space="preserve">. </w:t>
      </w:r>
    </w:p>
    <w:p w:rsidR="00265E4D" w:rsidRDefault="00265E4D" w:rsidP="00265E4D">
      <w:pPr>
        <w:pStyle w:val="PwCNormal"/>
      </w:pPr>
      <w:r>
        <w:t>Additional areas with emerging</w:t>
      </w:r>
      <w:r w:rsidR="00341081">
        <w:t xml:space="preserve"> potential</w:t>
      </w:r>
      <w:r>
        <w:t xml:space="preserve"> </w:t>
      </w:r>
      <w:r>
        <w:rPr>
          <w:bCs/>
        </w:rPr>
        <w:t xml:space="preserve">production </w:t>
      </w:r>
      <w:r w:rsidRPr="00D152E1">
        <w:rPr>
          <w:bCs/>
        </w:rPr>
        <w:t>shortfall</w:t>
      </w:r>
      <w:r>
        <w:rPr>
          <w:bCs/>
        </w:rPr>
        <w:t>s</w:t>
      </w:r>
      <w:r w:rsidRPr="00D152E1">
        <w:rPr>
          <w:bCs/>
        </w:rPr>
        <w:t xml:space="preserve"> </w:t>
      </w:r>
      <w:r>
        <w:t>over the 2015</w:t>
      </w:r>
      <w:r w:rsidR="007303D4">
        <w:t xml:space="preserve"> to 20</w:t>
      </w:r>
      <w:r>
        <w:t xml:space="preserve">50 include the Outer North East, as represented by Latrobe, Moira and Wellington, and the Inner East, as represented by Knox, Mornington Peninsula, Whitehorse and the Yarra Ranges, with potential shortfalls of nearly 5 million tonnes and over 3 million tonnes respectively. </w:t>
      </w:r>
    </w:p>
    <w:p w:rsidR="00265E4D" w:rsidRDefault="00341081" w:rsidP="00265E4D">
      <w:pPr>
        <w:pStyle w:val="PwCNormal"/>
      </w:pPr>
      <w:r>
        <w:t xml:space="preserve">These findings are </w:t>
      </w:r>
      <w:r w:rsidR="00265E4D" w:rsidRPr="009A417A">
        <w:t xml:space="preserve">illustrated in </w:t>
      </w:r>
      <w:r w:rsidR="00941DEA">
        <w:fldChar w:fldCharType="begin"/>
      </w:r>
      <w:r w:rsidR="00941DEA">
        <w:instrText xml:space="preserve"> REF _Ref448937110 \h </w:instrText>
      </w:r>
      <w:r w:rsidR="00941DEA">
        <w:fldChar w:fldCharType="separate"/>
      </w:r>
      <w:r w:rsidR="00E22E13">
        <w:t xml:space="preserve">Figure </w:t>
      </w:r>
      <w:r w:rsidR="00E22E13">
        <w:rPr>
          <w:noProof/>
        </w:rPr>
        <w:t>36</w:t>
      </w:r>
      <w:r w:rsidR="00941DEA">
        <w:fldChar w:fldCharType="end"/>
      </w:r>
      <w:r w:rsidR="00941DEA">
        <w:t xml:space="preserve"> </w:t>
      </w:r>
      <w:r w:rsidR="00265E4D" w:rsidRPr="009A417A">
        <w:t>belo</w:t>
      </w:r>
      <w:r w:rsidR="00265E4D">
        <w:t>w.</w:t>
      </w:r>
    </w:p>
    <w:p w:rsidR="00265E4D" w:rsidRDefault="00265E4D" w:rsidP="006916CE">
      <w:pPr>
        <w:pStyle w:val="PwCNormal"/>
        <w:sectPr w:rsidR="00265E4D" w:rsidSect="001A7D05">
          <w:pgSz w:w="11907" w:h="16840" w:code="9"/>
          <w:pgMar w:top="1588" w:right="1843" w:bottom="1418" w:left="1843" w:header="567" w:footer="567" w:gutter="0"/>
          <w:cols w:space="227"/>
          <w:docGrid w:linePitch="360"/>
        </w:sectPr>
      </w:pPr>
    </w:p>
    <w:p w:rsidR="00941DEA" w:rsidRDefault="00265E4D" w:rsidP="006916CE">
      <w:pPr>
        <w:pStyle w:val="Minorheading2"/>
      </w:pPr>
      <w:bookmarkStart w:id="209" w:name="_Ref448937110"/>
      <w:r>
        <w:rPr>
          <w:noProof/>
          <w:snapToGrid/>
          <w:lang w:eastAsia="en-AU"/>
        </w:rPr>
        <mc:AlternateContent>
          <mc:Choice Requires="wps">
            <w:drawing>
              <wp:anchor distT="0" distB="0" distL="114300" distR="114300" simplePos="0" relativeHeight="251700224" behindDoc="0" locked="0" layoutInCell="1" allowOverlap="1" wp14:anchorId="5DC9A7B2" wp14:editId="1C333F5E">
                <wp:simplePos x="0" y="0"/>
                <wp:positionH relativeFrom="column">
                  <wp:posOffset>5542915</wp:posOffset>
                </wp:positionH>
                <wp:positionV relativeFrom="paragraph">
                  <wp:posOffset>496570</wp:posOffset>
                </wp:positionV>
                <wp:extent cx="45085" cy="67945"/>
                <wp:effectExtent l="0" t="0" r="0" b="8255"/>
                <wp:wrapNone/>
                <wp:docPr id="15385" name="Rectangle 15385"/>
                <wp:cNvGraphicFramePr/>
                <a:graphic xmlns:a="http://schemas.openxmlformats.org/drawingml/2006/main">
                  <a:graphicData uri="http://schemas.microsoft.com/office/word/2010/wordprocessingShape">
                    <wps:wsp>
                      <wps:cNvSpPr/>
                      <wps:spPr bwMode="ltGray">
                        <a:xfrm flipH="1">
                          <a:off x="0" y="0"/>
                          <a:ext cx="45085" cy="67945"/>
                        </a:xfrm>
                        <a:prstGeom prst="rect">
                          <a:avLst/>
                        </a:prstGeom>
                        <a:solidFill>
                          <a:schemeClr val="bg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A7CE" id="Rectangle 15385" o:spid="_x0000_s1026" style="position:absolute;margin-left:436.45pt;margin-top:39.1pt;width:3.55pt;height:5.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" fillcolor="white [3214]" stroked="f" strokeweight=".25pt"/>
            </w:pict>
          </mc:Fallback>
        </mc:AlternateContent>
      </w:r>
      <w:r w:rsidR="00941DEA">
        <w:t xml:space="preserve">Figure </w:t>
      </w:r>
      <w:fldSimple w:instr=" SEQ Figure \* ARABIC ">
        <w:r w:rsidR="00E22E13">
          <w:rPr>
            <w:noProof/>
          </w:rPr>
          <w:t>36</w:t>
        </w:r>
      </w:fldSimple>
      <w:bookmarkEnd w:id="209"/>
      <w:r w:rsidR="00941DEA">
        <w:t xml:space="preserve">: </w:t>
      </w:r>
      <w:r w:rsidR="00941DEA" w:rsidRPr="00050CDC">
        <w:t>Key resource depletion locations - Clay and clay shale (cumulative potentially supply shortfall 2015</w:t>
      </w:r>
      <w:r w:rsidR="007303D4">
        <w:t xml:space="preserve"> to </w:t>
      </w:r>
      <w:r w:rsidR="00941DEA" w:rsidRPr="00050CDC">
        <w:t>2050)</w:t>
      </w:r>
    </w:p>
    <w:p w:rsidR="00265E4D" w:rsidRDefault="00F31B27" w:rsidP="006916CE">
      <w:pPr>
        <w:pStyle w:val="Sources"/>
      </w:pPr>
      <w:r>
        <w:rPr>
          <w:noProof/>
          <w:snapToGrid/>
          <w:lang w:eastAsia="en-AU"/>
        </w:rPr>
        <w:drawing>
          <wp:inline distT="0" distB="0" distL="0" distR="0" wp14:anchorId="7512BB9B" wp14:editId="6AB42DEE">
            <wp:extent cx="6835805" cy="4883656"/>
            <wp:effectExtent l="0" t="0" r="3175" b="0"/>
            <wp:docPr id="688" name="Picture 688" descr="Figure 36 shows a map of LGAs which represent key resource depletion locations for clay and clay shale based on cumulative potential production shortfall between 2015 and 2050. "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835805" cy="4883656"/>
                    </a:xfrm>
                    <a:prstGeom prst="rect">
                      <a:avLst/>
                    </a:prstGeom>
                  </pic:spPr>
                </pic:pic>
              </a:graphicData>
            </a:graphic>
          </wp:inline>
        </w:drawing>
      </w:r>
      <w:r w:rsidR="00265E4D">
        <w:t>Source: PwC analysis</w:t>
      </w:r>
    </w:p>
    <w:p w:rsidR="00265E4D" w:rsidRDefault="00265E4D" w:rsidP="00A03F70">
      <w:pPr>
        <w:pStyle w:val="Heading6"/>
        <w:sectPr w:rsidR="00265E4D" w:rsidSect="001A7D05">
          <w:pgSz w:w="16840" w:h="11907" w:orient="landscape" w:code="9"/>
          <w:pgMar w:top="1843" w:right="1588" w:bottom="1843" w:left="1418" w:header="567" w:footer="567" w:gutter="0"/>
          <w:cols w:space="227"/>
          <w:docGrid w:linePitch="360"/>
        </w:sectPr>
      </w:pPr>
    </w:p>
    <w:p w:rsidR="00FF443C" w:rsidRDefault="00522A6D" w:rsidP="00A03F70">
      <w:pPr>
        <w:pStyle w:val="Heading6"/>
      </w:pPr>
      <w:r>
        <w:t xml:space="preserve">Criterion </w:t>
      </w:r>
      <w:r w:rsidR="00A03F70">
        <w:t>3</w:t>
      </w:r>
      <w:r>
        <w:t xml:space="preserve">: </w:t>
      </w:r>
      <w:r w:rsidR="00FF443C" w:rsidRPr="0043136D">
        <w:t>Significant production</w:t>
      </w:r>
      <w:bookmarkEnd w:id="191"/>
      <w:r w:rsidR="00FF443C" w:rsidRPr="00FF443C">
        <w:t xml:space="preserve"> </w:t>
      </w:r>
    </w:p>
    <w:p w:rsidR="00206E44" w:rsidRDefault="00916022" w:rsidP="006916CE">
      <w:pPr>
        <w:pStyle w:val="PwCNormal"/>
      </w:pPr>
      <w:r>
        <w:t>Criterion 3</w:t>
      </w:r>
      <w:r w:rsidR="00206E44">
        <w:t xml:space="preserve"> identifies supply locations with significant production levels.  </w:t>
      </w:r>
    </w:p>
    <w:p w:rsidR="00206E44" w:rsidRDefault="00206E44" w:rsidP="006916CE">
      <w:pPr>
        <w:pStyle w:val="BlockText2Position"/>
      </w:pPr>
      <w:r w:rsidRPr="006916CE">
        <w:rPr>
          <w:b/>
          <w:i/>
        </w:rPr>
        <w:t>Supply locations with significant production levels</w:t>
      </w:r>
      <w:r>
        <w:t xml:space="preserve"> are those areas that </w:t>
      </w:r>
      <w:r w:rsidR="00BF3B60">
        <w:t xml:space="preserve">produce </w:t>
      </w:r>
      <w:r>
        <w:t>large volumes of extractive resources across the analysis period</w:t>
      </w:r>
      <w:r w:rsidR="00EF5A75">
        <w:t>, 2015 to 2050.</w:t>
      </w:r>
    </w:p>
    <w:p w:rsidR="0029459C" w:rsidRDefault="0029459C" w:rsidP="0029459C">
      <w:pPr>
        <w:pStyle w:val="Heading7"/>
      </w:pPr>
      <w:r>
        <w:t>The current picture: WAs and WA applications in Victoria</w:t>
      </w:r>
    </w:p>
    <w:p w:rsidR="0029459C" w:rsidRDefault="00793E6F" w:rsidP="0029459C">
      <w:pPr>
        <w:pStyle w:val="PwCNormal"/>
      </w:pPr>
      <w:r>
        <w:t>C</w:t>
      </w:r>
      <w:r w:rsidR="0029459C">
        <w:t xml:space="preserve">urrent WAs and WA applications are well distributed across the </w:t>
      </w:r>
      <w:r w:rsidR="009069AC">
        <w:t>State</w:t>
      </w:r>
      <w:r w:rsidR="0029459C">
        <w:t xml:space="preserve">. These are represented as black circles in </w:t>
      </w:r>
      <w:r w:rsidR="00065F81">
        <w:fldChar w:fldCharType="begin"/>
      </w:r>
      <w:r w:rsidR="00065F81">
        <w:instrText xml:space="preserve"> REF _Ref448143447 \h </w:instrText>
      </w:r>
      <w:r w:rsidR="00065F81">
        <w:fldChar w:fldCharType="separate"/>
      </w:r>
      <w:r w:rsidR="00E22E13">
        <w:t xml:space="preserve">Figure </w:t>
      </w:r>
      <w:r w:rsidR="00E22E13">
        <w:rPr>
          <w:noProof/>
        </w:rPr>
        <w:t>37</w:t>
      </w:r>
      <w:r w:rsidR="00065F81">
        <w:fldChar w:fldCharType="end"/>
      </w:r>
      <w:r w:rsidR="0029459C">
        <w:t>.</w:t>
      </w:r>
      <w:r w:rsidR="00065F81">
        <w:t xml:space="preserve"> </w:t>
      </w:r>
      <w:r w:rsidR="0029459C">
        <w:t xml:space="preserve">Due to survey respondent confidentiality, future planned WAs have not been presented in </w:t>
      </w:r>
      <w:r>
        <w:fldChar w:fldCharType="begin"/>
      </w:r>
      <w:r>
        <w:instrText xml:space="preserve"> REF _Ref448143447 \h </w:instrText>
      </w:r>
      <w:r>
        <w:fldChar w:fldCharType="separate"/>
      </w:r>
      <w:r w:rsidR="00E22E13">
        <w:t xml:space="preserve">Figure </w:t>
      </w:r>
      <w:r w:rsidR="00E22E13">
        <w:rPr>
          <w:noProof/>
        </w:rPr>
        <w:t>37</w:t>
      </w:r>
      <w:r>
        <w:fldChar w:fldCharType="end"/>
      </w:r>
      <w:r w:rsidR="0029459C">
        <w:t>.</w:t>
      </w:r>
    </w:p>
    <w:p w:rsidR="0029459C" w:rsidRDefault="0029459C" w:rsidP="0029459C">
      <w:pPr>
        <w:pStyle w:val="Caption"/>
      </w:pPr>
      <w:bookmarkStart w:id="210" w:name="_Ref448143447"/>
      <w:r>
        <w:t xml:space="preserve">Figure </w:t>
      </w:r>
      <w:fldSimple w:instr=" SEQ Figure \* ARABIC ">
        <w:r w:rsidR="00E22E13">
          <w:rPr>
            <w:noProof/>
          </w:rPr>
          <w:t>37</w:t>
        </w:r>
      </w:fldSimple>
      <w:bookmarkEnd w:id="210"/>
      <w:r>
        <w:t>: Current WAs and WA applications</w:t>
      </w:r>
    </w:p>
    <w:p w:rsidR="005B31FF" w:rsidRDefault="0029459C" w:rsidP="006916CE">
      <w:r>
        <w:rPr>
          <w:noProof/>
          <w:snapToGrid/>
          <w:lang w:eastAsia="en-AU"/>
        </w:rPr>
        <w:drawing>
          <wp:inline distT="0" distB="0" distL="0" distR="0" wp14:anchorId="1D52F0A2" wp14:editId="11E64348">
            <wp:extent cx="5024911" cy="3524434"/>
            <wp:effectExtent l="0" t="0" r="4445" b="0"/>
            <wp:docPr id="15367" name="Picture 15367" descr="Figure 37 shows a map of locations across Victoria where there are current WAs and WA applications. There are WAs and WA applications across all of Victoria. However, they are particularly concentrated around Melbourne and the coastline."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31215" cy="3528855"/>
                    </a:xfrm>
                    <a:prstGeom prst="rect">
                      <a:avLst/>
                    </a:prstGeom>
                  </pic:spPr>
                </pic:pic>
              </a:graphicData>
            </a:graphic>
          </wp:inline>
        </w:drawing>
      </w:r>
      <w:r w:rsidR="005E201F">
        <w:rPr>
          <w:color w:val="A32020" w:themeColor="accent1"/>
          <w:sz w:val="16"/>
        </w:rPr>
        <w:t xml:space="preserve"> </w:t>
      </w:r>
      <w:r w:rsidR="00A551C7">
        <w:rPr>
          <w:color w:val="A32020" w:themeColor="accent1"/>
          <w:sz w:val="16"/>
        </w:rPr>
        <w:br/>
      </w:r>
      <w:r w:rsidRPr="005D2CAF">
        <w:rPr>
          <w:color w:val="A32020" w:themeColor="accent1"/>
          <w:sz w:val="16"/>
        </w:rPr>
        <w:t>Source: PwC’s GEM, DEDJTR data, OpenStreetMap</w:t>
      </w:r>
      <w:r w:rsidR="005B31FF">
        <w:t xml:space="preserve">                           </w:t>
      </w:r>
    </w:p>
    <w:p w:rsidR="0029459C" w:rsidRPr="006916CE" w:rsidRDefault="0029459C">
      <w:pPr>
        <w:pStyle w:val="Minorheading3"/>
        <w:rPr>
          <w:color w:val="A32020" w:themeColor="accent1"/>
          <w:sz w:val="16"/>
        </w:rPr>
      </w:pPr>
      <w:r>
        <w:t>Geospatial granularity of reporting</w:t>
      </w:r>
    </w:p>
    <w:p w:rsidR="0029459C" w:rsidRDefault="0029459C" w:rsidP="0029459C">
      <w:pPr>
        <w:pStyle w:val="PwCNormal"/>
      </w:pPr>
      <w:r>
        <w:t xml:space="preserve">While the analysis is undertaken for each work authority and locality in Victoria, results by location are aggregated in most cases to the LGA-level and above to preserve the confidentiality of individuals and organisations who responded to the industry survey. Therefore, regional aggregations will differ across rock types, as they are dependent on the number of work authorities in a given area and must satisfy a set of confidentiality triggers. </w:t>
      </w:r>
    </w:p>
    <w:p w:rsidR="0029459C" w:rsidRDefault="0029459C" w:rsidP="0029459C">
      <w:pPr>
        <w:pStyle w:val="PwCNormal"/>
      </w:pPr>
      <w:r>
        <w:t xml:space="preserve">Further details of </w:t>
      </w:r>
      <w:r w:rsidR="009C7D8B">
        <w:t xml:space="preserve">PwC’s </w:t>
      </w:r>
      <w:r>
        <w:t xml:space="preserve">approach to respondent confidentiality can be found in </w:t>
      </w:r>
      <w:r>
        <w:fldChar w:fldCharType="begin"/>
      </w:r>
      <w:r>
        <w:instrText xml:space="preserve"> REF _Ref445638260 \n \h </w:instrText>
      </w:r>
      <w:r>
        <w:fldChar w:fldCharType="separate"/>
      </w:r>
      <w:r w:rsidR="00E22E13">
        <w:t>Appendix A</w:t>
      </w:r>
      <w:r>
        <w:fldChar w:fldCharType="end"/>
      </w:r>
      <w:r>
        <w:t xml:space="preserve">. </w:t>
      </w:r>
    </w:p>
    <w:p w:rsidR="0084487F" w:rsidRPr="00417D11" w:rsidRDefault="0084487F" w:rsidP="006916CE">
      <w:pPr>
        <w:pStyle w:val="PwCNormal"/>
        <w:sectPr w:rsidR="0084487F" w:rsidRPr="00417D11" w:rsidSect="001A7D05">
          <w:pgSz w:w="11907" w:h="16840" w:code="9"/>
          <w:pgMar w:top="1588" w:right="1843" w:bottom="1418" w:left="1843" w:header="567" w:footer="567" w:gutter="0"/>
          <w:cols w:space="227"/>
          <w:docGrid w:linePitch="360"/>
        </w:sectPr>
      </w:pPr>
    </w:p>
    <w:p w:rsidR="00522A6D" w:rsidRDefault="0094634A" w:rsidP="006916CE">
      <w:pPr>
        <w:pStyle w:val="Heading7"/>
      </w:pPr>
      <w:r>
        <w:t>Hard rock</w:t>
      </w:r>
    </w:p>
    <w:p w:rsidR="00065F81" w:rsidRDefault="00065F81" w:rsidP="006916CE">
      <w:pPr>
        <w:pStyle w:val="PwCNormal"/>
      </w:pPr>
      <w:r>
        <w:t xml:space="preserve">Victorian locations producing significant volumes of hard rock across the analysis period are listed in </w:t>
      </w:r>
      <w:r>
        <w:fldChar w:fldCharType="begin"/>
      </w:r>
      <w:r>
        <w:instrText xml:space="preserve"> REF _Ref448143607 \h </w:instrText>
      </w:r>
      <w:r>
        <w:fldChar w:fldCharType="separate"/>
      </w:r>
      <w:r w:rsidR="00E22E13">
        <w:t xml:space="preserve">Table </w:t>
      </w:r>
      <w:r w:rsidR="00E22E13">
        <w:rPr>
          <w:noProof/>
        </w:rPr>
        <w:t>14</w:t>
      </w:r>
      <w:r>
        <w:fldChar w:fldCharType="end"/>
      </w:r>
      <w:r>
        <w:t xml:space="preserve">, ordered by their respective levels of 2050 hard rock supply. Identified production shortfalls are also listed in the table. The production shortfall refers to the difference between the level of demand allocated to a location, which is based on its current and planned future licensed reserves and production levels, and the level of production from that location. The locations listed in </w:t>
      </w:r>
      <w:r>
        <w:fldChar w:fldCharType="begin"/>
      </w:r>
      <w:r>
        <w:instrText xml:space="preserve"> REF _Ref448143607 \h </w:instrText>
      </w:r>
      <w:r>
        <w:fldChar w:fldCharType="separate"/>
      </w:r>
      <w:r w:rsidR="00E22E13">
        <w:t xml:space="preserve">Table </w:t>
      </w:r>
      <w:r w:rsidR="00E22E13">
        <w:rPr>
          <w:noProof/>
        </w:rPr>
        <w:t>14</w:t>
      </w:r>
      <w:r>
        <w:fldChar w:fldCharType="end"/>
      </w:r>
      <w:r>
        <w:t xml:space="preserve"> are recognised as producing at least one million tonnes of hard rock material in 2050. </w:t>
      </w:r>
    </w:p>
    <w:p w:rsidR="00065F81" w:rsidRPr="00F77603" w:rsidRDefault="00065F81" w:rsidP="006916CE">
      <w:pPr>
        <w:pStyle w:val="PwCNormal"/>
      </w:pPr>
      <w:r>
        <w:fldChar w:fldCharType="begin"/>
      </w:r>
      <w:r>
        <w:instrText xml:space="preserve"> REF _Ref448143932 \h </w:instrText>
      </w:r>
      <w:r>
        <w:fldChar w:fldCharType="separate"/>
      </w:r>
      <w:r w:rsidR="00E22E13">
        <w:t xml:space="preserve">Figure </w:t>
      </w:r>
      <w:r w:rsidR="00E22E13">
        <w:rPr>
          <w:noProof/>
        </w:rPr>
        <w:t>38</w:t>
      </w:r>
      <w:r>
        <w:fldChar w:fldCharType="end"/>
      </w:r>
      <w:r>
        <w:t xml:space="preserve"> maps the level of cumulative production by locations in Victoria for hard rock across the entirety of the analysis period; that is, from 2015</w:t>
      </w:r>
      <w:r w:rsidR="007303D4">
        <w:t xml:space="preserve"> to 20</w:t>
      </w:r>
      <w:r>
        <w:t xml:space="preserve">50. The figure demonstrates that significant levels of production are expected from </w:t>
      </w:r>
      <w:r w:rsidR="00201183">
        <w:t xml:space="preserve">the region to the South East of Melbourne, which incorporates LGAs such as South Gippsland, Bass Coast, Cardinia, Casey, Frankston, Knox, Mornington Peninsula and Whitehorse. </w:t>
      </w:r>
    </w:p>
    <w:p w:rsidR="0094634A" w:rsidRDefault="0094634A" w:rsidP="006916CE">
      <w:pPr>
        <w:pStyle w:val="Caption"/>
      </w:pPr>
      <w:bookmarkStart w:id="211" w:name="_Ref448143607"/>
      <w:r>
        <w:t xml:space="preserve">Table </w:t>
      </w:r>
      <w:fldSimple w:instr=" SEQ Table \* ARABIC ">
        <w:r w:rsidR="00E22E13">
          <w:rPr>
            <w:noProof/>
          </w:rPr>
          <w:t>14</w:t>
        </w:r>
      </w:fldSimple>
      <w:bookmarkEnd w:id="211"/>
      <w:r>
        <w:t xml:space="preserve">: Criterion </w:t>
      </w:r>
      <w:r w:rsidR="00916022">
        <w:t>3</w:t>
      </w:r>
      <w:r>
        <w:t xml:space="preserve"> – Supply locations with significant production levels: Hard rock</w:t>
      </w:r>
    </w:p>
    <w:tbl>
      <w:tblPr>
        <w:tblStyle w:val="Tables-APBase"/>
        <w:tblW w:w="0" w:type="auto"/>
        <w:tblLook w:val="04A0" w:firstRow="1" w:lastRow="0" w:firstColumn="1" w:lastColumn="0" w:noHBand="0" w:noVBand="1"/>
        <w:tblCaption w:val="Table 14 "/>
        <w:tblDescription w:val="Table 14 applies criterion 3 and lists supply locations with significant hard rock production levels. In descending order, they are South Gippsland, Inner South East (comprising Bass Coast, Cardinia, Casey, Frankston, Knox, Mornington Peninsula, Whitehorse and Yarra Ranges), Mitchell, Melton, Whittlesea, Wyndham, Greater Geelong, Outer North (comprising Campaspe, Greater Bendigo, greater Shepparton and Stratehbogie), Hume, and Central West (comprising Ararat, Northern Grampians and the Pyrenees)."/>
      </w:tblPr>
      <w:tblGrid>
        <w:gridCol w:w="1198"/>
        <w:gridCol w:w="3822"/>
        <w:gridCol w:w="1302"/>
        <w:gridCol w:w="1356"/>
        <w:gridCol w:w="1076"/>
        <w:gridCol w:w="1432"/>
        <w:gridCol w:w="1356"/>
        <w:gridCol w:w="1076"/>
        <w:gridCol w:w="1432"/>
      </w:tblGrid>
      <w:tr w:rsidR="00065F81" w:rsidTr="0094634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94634A" w:rsidRDefault="0094634A" w:rsidP="006916CE">
            <w:pPr>
              <w:pStyle w:val="TableColumnHeadingSmall"/>
            </w:pPr>
            <w:r w:rsidRPr="00226881">
              <w:t>Region name</w:t>
            </w:r>
          </w:p>
        </w:tc>
        <w:tc>
          <w:tcPr>
            <w:tcW w:w="0" w:type="auto"/>
          </w:tcPr>
          <w:p w:rsidR="0094634A" w:rsidRDefault="0094634A"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226881">
              <w:t>LGAs in region</w:t>
            </w:r>
          </w:p>
        </w:tc>
        <w:tc>
          <w:tcPr>
            <w:tcW w:w="0" w:type="auto"/>
          </w:tcPr>
          <w:p w:rsidR="0094634A" w:rsidRDefault="0094634A"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2015</w:t>
            </w:r>
          </w:p>
        </w:tc>
        <w:tc>
          <w:tcPr>
            <w:tcW w:w="0" w:type="auto"/>
          </w:tcPr>
          <w:p w:rsidR="0094634A" w:rsidRDefault="0094634A"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2025</w:t>
            </w:r>
          </w:p>
        </w:tc>
        <w:tc>
          <w:tcPr>
            <w:tcW w:w="0" w:type="auto"/>
          </w:tcPr>
          <w:p w:rsidR="0094634A" w:rsidRDefault="0094634A"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2025</w:t>
            </w:r>
          </w:p>
        </w:tc>
        <w:tc>
          <w:tcPr>
            <w:tcW w:w="0" w:type="auto"/>
          </w:tcPr>
          <w:p w:rsidR="0094634A" w:rsidRDefault="00065F81"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0094634A" w:rsidRPr="00226881">
              <w:t>hortfall, 2025</w:t>
            </w:r>
          </w:p>
        </w:tc>
        <w:tc>
          <w:tcPr>
            <w:tcW w:w="0" w:type="auto"/>
          </w:tcPr>
          <w:p w:rsidR="0094634A" w:rsidRDefault="0094634A"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2050</w:t>
            </w:r>
          </w:p>
        </w:tc>
        <w:tc>
          <w:tcPr>
            <w:tcW w:w="0" w:type="auto"/>
          </w:tcPr>
          <w:p w:rsidR="0094634A" w:rsidRDefault="0094634A"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2050</w:t>
            </w:r>
          </w:p>
        </w:tc>
        <w:tc>
          <w:tcPr>
            <w:tcW w:w="0" w:type="auto"/>
          </w:tcPr>
          <w:p w:rsidR="0094634A" w:rsidRDefault="00065F81"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0094634A" w:rsidRPr="00226881">
              <w:t>hortfall, 2050</w:t>
            </w:r>
          </w:p>
        </w:tc>
      </w:tr>
      <w:tr w:rsidR="00065F81" w:rsidTr="0094634A">
        <w:tc>
          <w:tcPr>
            <w:tcW w:w="0" w:type="auto"/>
            <w:vAlign w:val="center"/>
          </w:tcPr>
          <w:p w:rsidR="0094634A" w:rsidRDefault="0094634A" w:rsidP="006916CE">
            <w:pPr>
              <w:pStyle w:val="TableTextSmall"/>
              <w:keepNext/>
            </w:pPr>
            <w:r w:rsidRPr="00226881">
              <w:t>South Gippsland (S)</w:t>
            </w:r>
          </w:p>
        </w:tc>
        <w:tc>
          <w:tcPr>
            <w:tcW w:w="0" w:type="auto"/>
            <w:vAlign w:val="center"/>
          </w:tcPr>
          <w:p w:rsidR="0094634A" w:rsidRDefault="0094634A" w:rsidP="006916CE">
            <w:pPr>
              <w:pStyle w:val="TableTextSmall"/>
              <w:keepNext/>
            </w:pPr>
            <w:r w:rsidRPr="00226881">
              <w:t>South Gippsland (S)</w:t>
            </w:r>
          </w:p>
        </w:tc>
        <w:tc>
          <w:tcPr>
            <w:tcW w:w="0" w:type="auto"/>
            <w:vAlign w:val="center"/>
          </w:tcPr>
          <w:p w:rsidR="0094634A" w:rsidRDefault="0094634A" w:rsidP="006916CE">
            <w:pPr>
              <w:pStyle w:val="TableTextSmall"/>
              <w:keepNext/>
              <w:jc w:val="right"/>
            </w:pPr>
            <w:r w:rsidRPr="00226881">
              <w:t xml:space="preserve"> 120,252 </w:t>
            </w:r>
          </w:p>
        </w:tc>
        <w:tc>
          <w:tcPr>
            <w:tcW w:w="0" w:type="auto"/>
            <w:vAlign w:val="center"/>
          </w:tcPr>
          <w:p w:rsidR="0094634A" w:rsidRDefault="0094634A" w:rsidP="006916CE">
            <w:pPr>
              <w:pStyle w:val="TableTextSmall"/>
              <w:keepNext/>
              <w:jc w:val="right"/>
            </w:pPr>
            <w:r w:rsidRPr="00226881">
              <w:t xml:space="preserve"> 10,781,036 </w:t>
            </w:r>
          </w:p>
        </w:tc>
        <w:tc>
          <w:tcPr>
            <w:tcW w:w="0" w:type="auto"/>
            <w:vAlign w:val="center"/>
          </w:tcPr>
          <w:p w:rsidR="0094634A" w:rsidRDefault="0094634A" w:rsidP="006916CE">
            <w:pPr>
              <w:pStyle w:val="TableTextSmall"/>
              <w:keepNext/>
              <w:jc w:val="right"/>
            </w:pPr>
            <w:r w:rsidRPr="00226881">
              <w:t xml:space="preserve"> 10,781,036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17,781,095 </w:t>
            </w:r>
          </w:p>
        </w:tc>
        <w:tc>
          <w:tcPr>
            <w:tcW w:w="0" w:type="auto"/>
            <w:vAlign w:val="center"/>
          </w:tcPr>
          <w:p w:rsidR="0094634A" w:rsidRDefault="0094634A" w:rsidP="006916CE">
            <w:pPr>
              <w:pStyle w:val="TableTextSmall"/>
              <w:keepNext/>
              <w:jc w:val="right"/>
            </w:pPr>
            <w:r w:rsidRPr="00226881">
              <w:t xml:space="preserve"> 17,781,095 </w:t>
            </w:r>
          </w:p>
        </w:tc>
        <w:tc>
          <w:tcPr>
            <w:tcW w:w="0" w:type="auto"/>
            <w:vAlign w:val="center"/>
          </w:tcPr>
          <w:p w:rsidR="0094634A" w:rsidRDefault="0094634A" w:rsidP="006916CE">
            <w:pPr>
              <w:pStyle w:val="TableTextSmall"/>
              <w:keepNext/>
              <w:jc w:val="right"/>
            </w:pPr>
            <w:r w:rsidRPr="00226881">
              <w:t xml:space="preserve"> -   </w:t>
            </w:r>
          </w:p>
        </w:tc>
      </w:tr>
      <w:tr w:rsidR="00065F81" w:rsidTr="0094634A">
        <w:tc>
          <w:tcPr>
            <w:tcW w:w="0" w:type="auto"/>
            <w:vAlign w:val="center"/>
          </w:tcPr>
          <w:p w:rsidR="0094634A" w:rsidRDefault="0094634A" w:rsidP="006916CE">
            <w:pPr>
              <w:pStyle w:val="TableTextSmall"/>
              <w:keepNext/>
            </w:pPr>
            <w:r w:rsidRPr="00226881">
              <w:t>Inner South East</w:t>
            </w:r>
          </w:p>
        </w:tc>
        <w:tc>
          <w:tcPr>
            <w:tcW w:w="0" w:type="auto"/>
            <w:vAlign w:val="center"/>
          </w:tcPr>
          <w:p w:rsidR="0094634A" w:rsidRDefault="0094634A" w:rsidP="006916CE">
            <w:pPr>
              <w:pStyle w:val="TableTextSmall"/>
              <w:keepNext/>
            </w:pPr>
            <w:r w:rsidRPr="00226881">
              <w:t>Bass Coast (S),Cardinia (S),Casey (C),Frankston (C),Knox (C),Mornington Peninsula (S),Whitehorse (C),Yarra Ranges (S)</w:t>
            </w:r>
          </w:p>
        </w:tc>
        <w:tc>
          <w:tcPr>
            <w:tcW w:w="0" w:type="auto"/>
            <w:vAlign w:val="center"/>
          </w:tcPr>
          <w:p w:rsidR="0094634A" w:rsidRDefault="0094634A" w:rsidP="006916CE">
            <w:pPr>
              <w:pStyle w:val="TableTextSmall"/>
              <w:keepNext/>
              <w:jc w:val="right"/>
            </w:pPr>
            <w:r w:rsidRPr="00226881">
              <w:t xml:space="preserve"> 5,610,471 </w:t>
            </w:r>
          </w:p>
        </w:tc>
        <w:tc>
          <w:tcPr>
            <w:tcW w:w="0" w:type="auto"/>
            <w:vAlign w:val="center"/>
          </w:tcPr>
          <w:p w:rsidR="0094634A" w:rsidRDefault="0094634A" w:rsidP="006916CE">
            <w:pPr>
              <w:pStyle w:val="TableTextSmall"/>
              <w:keepNext/>
              <w:jc w:val="right"/>
            </w:pPr>
            <w:r w:rsidRPr="00226881">
              <w:t xml:space="preserve"> 6,742,753 </w:t>
            </w:r>
          </w:p>
        </w:tc>
        <w:tc>
          <w:tcPr>
            <w:tcW w:w="0" w:type="auto"/>
            <w:vAlign w:val="center"/>
          </w:tcPr>
          <w:p w:rsidR="0094634A" w:rsidRDefault="0094634A" w:rsidP="006916CE">
            <w:pPr>
              <w:pStyle w:val="TableTextSmall"/>
              <w:keepNext/>
              <w:jc w:val="right"/>
            </w:pPr>
            <w:r w:rsidRPr="00226881">
              <w:t xml:space="preserve"> 5,997,552 </w:t>
            </w:r>
          </w:p>
        </w:tc>
        <w:tc>
          <w:tcPr>
            <w:tcW w:w="0" w:type="auto"/>
            <w:vAlign w:val="center"/>
          </w:tcPr>
          <w:p w:rsidR="0094634A" w:rsidRDefault="0094634A" w:rsidP="006916CE">
            <w:pPr>
              <w:pStyle w:val="TableTextSmall"/>
              <w:keepNext/>
              <w:jc w:val="right"/>
            </w:pPr>
            <w:r w:rsidRPr="00226881">
              <w:t xml:space="preserve"> 745,201 </w:t>
            </w:r>
          </w:p>
        </w:tc>
        <w:tc>
          <w:tcPr>
            <w:tcW w:w="0" w:type="auto"/>
            <w:vAlign w:val="center"/>
          </w:tcPr>
          <w:p w:rsidR="0094634A" w:rsidRDefault="0094634A" w:rsidP="006916CE">
            <w:pPr>
              <w:pStyle w:val="TableTextSmall"/>
              <w:keepNext/>
              <w:jc w:val="right"/>
            </w:pPr>
            <w:r w:rsidRPr="00226881">
              <w:t xml:space="preserve"> 12,401,506 </w:t>
            </w:r>
          </w:p>
        </w:tc>
        <w:tc>
          <w:tcPr>
            <w:tcW w:w="0" w:type="auto"/>
            <w:vAlign w:val="center"/>
          </w:tcPr>
          <w:p w:rsidR="0094634A" w:rsidRDefault="0094634A" w:rsidP="006916CE">
            <w:pPr>
              <w:pStyle w:val="TableTextSmall"/>
              <w:keepNext/>
              <w:jc w:val="right"/>
            </w:pPr>
            <w:r w:rsidRPr="00226881">
              <w:t xml:space="preserve"> 6,000,341 </w:t>
            </w:r>
          </w:p>
        </w:tc>
        <w:tc>
          <w:tcPr>
            <w:tcW w:w="0" w:type="auto"/>
            <w:vAlign w:val="center"/>
          </w:tcPr>
          <w:p w:rsidR="0094634A" w:rsidRDefault="0094634A" w:rsidP="006916CE">
            <w:pPr>
              <w:pStyle w:val="TableTextSmall"/>
              <w:keepNext/>
              <w:jc w:val="right"/>
            </w:pPr>
            <w:r w:rsidRPr="00226881">
              <w:t xml:space="preserve"> 6,401,165 </w:t>
            </w:r>
          </w:p>
        </w:tc>
      </w:tr>
      <w:tr w:rsidR="00065F81" w:rsidTr="0094634A">
        <w:tc>
          <w:tcPr>
            <w:tcW w:w="0" w:type="auto"/>
            <w:vAlign w:val="center"/>
          </w:tcPr>
          <w:p w:rsidR="0094634A" w:rsidRDefault="0094634A" w:rsidP="006916CE">
            <w:pPr>
              <w:pStyle w:val="TableTextSmall"/>
              <w:keepNext/>
            </w:pPr>
            <w:r w:rsidRPr="00226881">
              <w:t>Mitchell (S)</w:t>
            </w:r>
          </w:p>
        </w:tc>
        <w:tc>
          <w:tcPr>
            <w:tcW w:w="0" w:type="auto"/>
            <w:vAlign w:val="center"/>
          </w:tcPr>
          <w:p w:rsidR="0094634A" w:rsidRDefault="0094634A" w:rsidP="006916CE">
            <w:pPr>
              <w:pStyle w:val="TableTextSmall"/>
              <w:keepNext/>
            </w:pPr>
            <w:r w:rsidRPr="00226881">
              <w:t>Mitchell (S)</w:t>
            </w:r>
          </w:p>
        </w:tc>
        <w:tc>
          <w:tcPr>
            <w:tcW w:w="0" w:type="auto"/>
            <w:vAlign w:val="center"/>
          </w:tcPr>
          <w:p w:rsidR="0094634A" w:rsidRDefault="0094634A" w:rsidP="006916CE">
            <w:pPr>
              <w:pStyle w:val="TableTextSmall"/>
              <w:keepNext/>
              <w:jc w:val="right"/>
            </w:pPr>
            <w:r w:rsidRPr="00226881">
              <w:t xml:space="preserve"> 1,212,194 </w:t>
            </w:r>
          </w:p>
        </w:tc>
        <w:tc>
          <w:tcPr>
            <w:tcW w:w="0" w:type="auto"/>
            <w:vAlign w:val="center"/>
          </w:tcPr>
          <w:p w:rsidR="0094634A" w:rsidRDefault="0094634A" w:rsidP="006916CE">
            <w:pPr>
              <w:pStyle w:val="TableTextSmall"/>
              <w:keepNext/>
              <w:jc w:val="right"/>
            </w:pPr>
            <w:r w:rsidRPr="00226881">
              <w:t xml:space="preserve"> 1,290,656 </w:t>
            </w:r>
          </w:p>
        </w:tc>
        <w:tc>
          <w:tcPr>
            <w:tcW w:w="0" w:type="auto"/>
            <w:vAlign w:val="center"/>
          </w:tcPr>
          <w:p w:rsidR="0094634A" w:rsidRDefault="0094634A" w:rsidP="006916CE">
            <w:pPr>
              <w:pStyle w:val="TableTextSmall"/>
              <w:keepNext/>
              <w:jc w:val="right"/>
            </w:pPr>
            <w:r w:rsidRPr="00226881">
              <w:t xml:space="preserve"> 1,290,656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2,987,698 </w:t>
            </w:r>
          </w:p>
        </w:tc>
        <w:tc>
          <w:tcPr>
            <w:tcW w:w="0" w:type="auto"/>
            <w:vAlign w:val="center"/>
          </w:tcPr>
          <w:p w:rsidR="0094634A" w:rsidRDefault="0094634A" w:rsidP="006916CE">
            <w:pPr>
              <w:pStyle w:val="TableTextSmall"/>
              <w:keepNext/>
              <w:jc w:val="right"/>
            </w:pPr>
            <w:r w:rsidRPr="00226881">
              <w:t xml:space="preserve"> 2,987,698 </w:t>
            </w:r>
          </w:p>
        </w:tc>
        <w:tc>
          <w:tcPr>
            <w:tcW w:w="0" w:type="auto"/>
            <w:vAlign w:val="center"/>
          </w:tcPr>
          <w:p w:rsidR="0094634A" w:rsidRDefault="0094634A" w:rsidP="006916CE">
            <w:pPr>
              <w:pStyle w:val="TableTextSmall"/>
              <w:keepNext/>
              <w:jc w:val="right"/>
            </w:pPr>
            <w:r w:rsidRPr="00226881">
              <w:t xml:space="preserve"> -   </w:t>
            </w:r>
          </w:p>
        </w:tc>
      </w:tr>
      <w:tr w:rsidR="00065F81" w:rsidTr="0094634A">
        <w:tc>
          <w:tcPr>
            <w:tcW w:w="0" w:type="auto"/>
            <w:vAlign w:val="center"/>
          </w:tcPr>
          <w:p w:rsidR="0094634A" w:rsidRDefault="0094634A" w:rsidP="006916CE">
            <w:pPr>
              <w:pStyle w:val="TableTextSmall"/>
              <w:keepNext/>
            </w:pPr>
            <w:r w:rsidRPr="00226881">
              <w:t>Melton (S)</w:t>
            </w:r>
          </w:p>
        </w:tc>
        <w:tc>
          <w:tcPr>
            <w:tcW w:w="0" w:type="auto"/>
            <w:vAlign w:val="center"/>
          </w:tcPr>
          <w:p w:rsidR="0094634A" w:rsidRDefault="0094634A" w:rsidP="006916CE">
            <w:pPr>
              <w:pStyle w:val="TableTextSmall"/>
              <w:keepNext/>
            </w:pPr>
            <w:r w:rsidRPr="00226881">
              <w:t>Melton (S)</w:t>
            </w:r>
          </w:p>
        </w:tc>
        <w:tc>
          <w:tcPr>
            <w:tcW w:w="0" w:type="auto"/>
            <w:vAlign w:val="center"/>
          </w:tcPr>
          <w:p w:rsidR="0094634A" w:rsidRDefault="0094634A" w:rsidP="006916CE">
            <w:pPr>
              <w:pStyle w:val="TableTextSmall"/>
              <w:keepNext/>
              <w:jc w:val="right"/>
            </w:pPr>
            <w:r w:rsidRPr="00226881">
              <w:t xml:space="preserve"> 2,700,498 </w:t>
            </w:r>
          </w:p>
        </w:tc>
        <w:tc>
          <w:tcPr>
            <w:tcW w:w="0" w:type="auto"/>
            <w:vAlign w:val="center"/>
          </w:tcPr>
          <w:p w:rsidR="0094634A" w:rsidRDefault="0094634A" w:rsidP="006916CE">
            <w:pPr>
              <w:pStyle w:val="TableTextSmall"/>
              <w:keepNext/>
              <w:jc w:val="right"/>
            </w:pPr>
            <w:r w:rsidRPr="00226881">
              <w:t xml:space="preserve"> 1,296,960 </w:t>
            </w:r>
          </w:p>
        </w:tc>
        <w:tc>
          <w:tcPr>
            <w:tcW w:w="0" w:type="auto"/>
            <w:vAlign w:val="center"/>
          </w:tcPr>
          <w:p w:rsidR="0094634A" w:rsidRDefault="0094634A" w:rsidP="006916CE">
            <w:pPr>
              <w:pStyle w:val="TableTextSmall"/>
              <w:keepNext/>
              <w:jc w:val="right"/>
            </w:pPr>
            <w:r w:rsidRPr="00226881">
              <w:t xml:space="preserve"> 1,296,960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2,186,543 </w:t>
            </w:r>
          </w:p>
        </w:tc>
        <w:tc>
          <w:tcPr>
            <w:tcW w:w="0" w:type="auto"/>
            <w:vAlign w:val="center"/>
          </w:tcPr>
          <w:p w:rsidR="0094634A" w:rsidRDefault="0094634A" w:rsidP="006916CE">
            <w:pPr>
              <w:pStyle w:val="TableTextSmall"/>
              <w:keepNext/>
              <w:jc w:val="right"/>
            </w:pPr>
            <w:r w:rsidRPr="00226881">
              <w:t xml:space="preserve"> 2,186,543 </w:t>
            </w:r>
          </w:p>
        </w:tc>
        <w:tc>
          <w:tcPr>
            <w:tcW w:w="0" w:type="auto"/>
            <w:vAlign w:val="center"/>
          </w:tcPr>
          <w:p w:rsidR="0094634A" w:rsidRDefault="0094634A" w:rsidP="006916CE">
            <w:pPr>
              <w:pStyle w:val="TableTextSmall"/>
              <w:keepNext/>
              <w:jc w:val="right"/>
            </w:pPr>
            <w:r w:rsidRPr="00226881">
              <w:t xml:space="preserve"> -   </w:t>
            </w:r>
          </w:p>
        </w:tc>
      </w:tr>
      <w:tr w:rsidR="00065F81" w:rsidTr="0094634A">
        <w:tc>
          <w:tcPr>
            <w:tcW w:w="0" w:type="auto"/>
            <w:vAlign w:val="center"/>
          </w:tcPr>
          <w:p w:rsidR="0094634A" w:rsidRDefault="0094634A" w:rsidP="006916CE">
            <w:pPr>
              <w:pStyle w:val="TableTextSmall"/>
              <w:keepNext/>
            </w:pPr>
            <w:r w:rsidRPr="00226881">
              <w:t>Whittlesea (C)</w:t>
            </w:r>
          </w:p>
        </w:tc>
        <w:tc>
          <w:tcPr>
            <w:tcW w:w="0" w:type="auto"/>
            <w:vAlign w:val="center"/>
          </w:tcPr>
          <w:p w:rsidR="0094634A" w:rsidRDefault="0094634A" w:rsidP="006916CE">
            <w:pPr>
              <w:pStyle w:val="TableTextSmall"/>
              <w:keepNext/>
            </w:pPr>
            <w:r w:rsidRPr="00226881">
              <w:t>Whittlesea (C)</w:t>
            </w:r>
          </w:p>
        </w:tc>
        <w:tc>
          <w:tcPr>
            <w:tcW w:w="0" w:type="auto"/>
            <w:vAlign w:val="center"/>
          </w:tcPr>
          <w:p w:rsidR="0094634A" w:rsidRDefault="0094634A" w:rsidP="006916CE">
            <w:pPr>
              <w:pStyle w:val="TableTextSmall"/>
              <w:keepNext/>
              <w:jc w:val="right"/>
            </w:pPr>
            <w:r w:rsidRPr="00226881">
              <w:t xml:space="preserve"> 2,942,876 </w:t>
            </w:r>
          </w:p>
        </w:tc>
        <w:tc>
          <w:tcPr>
            <w:tcW w:w="0" w:type="auto"/>
            <w:vAlign w:val="center"/>
          </w:tcPr>
          <w:p w:rsidR="0094634A" w:rsidRDefault="0094634A" w:rsidP="006916CE">
            <w:pPr>
              <w:pStyle w:val="TableTextSmall"/>
              <w:keepNext/>
              <w:jc w:val="right"/>
            </w:pPr>
            <w:r w:rsidRPr="00226881">
              <w:t xml:space="preserve"> 2,357,738 </w:t>
            </w:r>
          </w:p>
        </w:tc>
        <w:tc>
          <w:tcPr>
            <w:tcW w:w="0" w:type="auto"/>
            <w:vAlign w:val="center"/>
          </w:tcPr>
          <w:p w:rsidR="0094634A" w:rsidRDefault="0094634A" w:rsidP="006916CE">
            <w:pPr>
              <w:pStyle w:val="TableTextSmall"/>
              <w:keepNext/>
              <w:jc w:val="right"/>
            </w:pPr>
            <w:r w:rsidRPr="00226881">
              <w:t xml:space="preserve"> 1,419,835 </w:t>
            </w:r>
          </w:p>
        </w:tc>
        <w:tc>
          <w:tcPr>
            <w:tcW w:w="0" w:type="auto"/>
            <w:vAlign w:val="center"/>
          </w:tcPr>
          <w:p w:rsidR="0094634A" w:rsidRDefault="0094634A" w:rsidP="006916CE">
            <w:pPr>
              <w:pStyle w:val="TableTextSmall"/>
              <w:keepNext/>
              <w:jc w:val="right"/>
            </w:pPr>
            <w:r w:rsidRPr="00226881">
              <w:t xml:space="preserve"> 937,904 </w:t>
            </w:r>
          </w:p>
        </w:tc>
        <w:tc>
          <w:tcPr>
            <w:tcW w:w="0" w:type="auto"/>
            <w:vAlign w:val="center"/>
          </w:tcPr>
          <w:p w:rsidR="0094634A" w:rsidRDefault="0094634A" w:rsidP="006916CE">
            <w:pPr>
              <w:pStyle w:val="TableTextSmall"/>
              <w:keepNext/>
              <w:jc w:val="right"/>
            </w:pPr>
            <w:r w:rsidRPr="00226881">
              <w:t xml:space="preserve"> 3,969,252 </w:t>
            </w:r>
          </w:p>
        </w:tc>
        <w:tc>
          <w:tcPr>
            <w:tcW w:w="0" w:type="auto"/>
            <w:vAlign w:val="center"/>
          </w:tcPr>
          <w:p w:rsidR="0094634A" w:rsidRDefault="0094634A" w:rsidP="006916CE">
            <w:pPr>
              <w:pStyle w:val="TableTextSmall"/>
              <w:keepNext/>
              <w:jc w:val="right"/>
            </w:pPr>
            <w:r w:rsidRPr="00226881">
              <w:t xml:space="preserve"> 1,938,030 </w:t>
            </w:r>
          </w:p>
        </w:tc>
        <w:tc>
          <w:tcPr>
            <w:tcW w:w="0" w:type="auto"/>
            <w:vAlign w:val="center"/>
          </w:tcPr>
          <w:p w:rsidR="0094634A" w:rsidRDefault="0094634A" w:rsidP="006916CE">
            <w:pPr>
              <w:pStyle w:val="TableTextSmall"/>
              <w:keepNext/>
              <w:jc w:val="right"/>
            </w:pPr>
            <w:r w:rsidRPr="00226881">
              <w:t xml:space="preserve"> 2,031,222 </w:t>
            </w:r>
          </w:p>
        </w:tc>
      </w:tr>
      <w:tr w:rsidR="00065F81" w:rsidTr="0094634A">
        <w:tc>
          <w:tcPr>
            <w:tcW w:w="0" w:type="auto"/>
            <w:vAlign w:val="center"/>
          </w:tcPr>
          <w:p w:rsidR="0094634A" w:rsidRDefault="0094634A" w:rsidP="006916CE">
            <w:pPr>
              <w:pStyle w:val="TableTextSmall"/>
              <w:keepNext/>
            </w:pPr>
            <w:r w:rsidRPr="00226881">
              <w:t>Wyndham (C)</w:t>
            </w:r>
          </w:p>
        </w:tc>
        <w:tc>
          <w:tcPr>
            <w:tcW w:w="0" w:type="auto"/>
            <w:vAlign w:val="center"/>
          </w:tcPr>
          <w:p w:rsidR="0094634A" w:rsidRDefault="0094634A" w:rsidP="006916CE">
            <w:pPr>
              <w:pStyle w:val="TableTextSmall"/>
              <w:keepNext/>
            </w:pPr>
            <w:r w:rsidRPr="00226881">
              <w:t>Wyndham (C)</w:t>
            </w:r>
          </w:p>
        </w:tc>
        <w:tc>
          <w:tcPr>
            <w:tcW w:w="0" w:type="auto"/>
            <w:vAlign w:val="center"/>
          </w:tcPr>
          <w:p w:rsidR="0094634A" w:rsidRDefault="0094634A" w:rsidP="006916CE">
            <w:pPr>
              <w:pStyle w:val="TableTextSmall"/>
              <w:keepNext/>
              <w:jc w:val="right"/>
            </w:pPr>
            <w:r w:rsidRPr="00226881">
              <w:t xml:space="preserve"> 2,919,225 </w:t>
            </w:r>
          </w:p>
        </w:tc>
        <w:tc>
          <w:tcPr>
            <w:tcW w:w="0" w:type="auto"/>
            <w:vAlign w:val="center"/>
          </w:tcPr>
          <w:p w:rsidR="0094634A" w:rsidRDefault="0094634A" w:rsidP="006916CE">
            <w:pPr>
              <w:pStyle w:val="TableTextSmall"/>
              <w:keepNext/>
              <w:jc w:val="right"/>
            </w:pPr>
            <w:r w:rsidRPr="00226881">
              <w:t xml:space="preserve"> 2,700,346 </w:t>
            </w:r>
          </w:p>
        </w:tc>
        <w:tc>
          <w:tcPr>
            <w:tcW w:w="0" w:type="auto"/>
            <w:vAlign w:val="center"/>
          </w:tcPr>
          <w:p w:rsidR="0094634A" w:rsidRDefault="0094634A" w:rsidP="006916CE">
            <w:pPr>
              <w:pStyle w:val="TableTextSmall"/>
              <w:keepNext/>
              <w:jc w:val="right"/>
            </w:pPr>
            <w:r w:rsidRPr="00226881">
              <w:t xml:space="preserve"> 1,790,038 </w:t>
            </w:r>
          </w:p>
        </w:tc>
        <w:tc>
          <w:tcPr>
            <w:tcW w:w="0" w:type="auto"/>
            <w:vAlign w:val="center"/>
          </w:tcPr>
          <w:p w:rsidR="0094634A" w:rsidRDefault="0094634A" w:rsidP="006916CE">
            <w:pPr>
              <w:pStyle w:val="TableTextSmall"/>
              <w:keepNext/>
              <w:jc w:val="right"/>
            </w:pPr>
            <w:r w:rsidRPr="00226881">
              <w:t xml:space="preserve"> 910,308 </w:t>
            </w:r>
          </w:p>
        </w:tc>
        <w:tc>
          <w:tcPr>
            <w:tcW w:w="0" w:type="auto"/>
            <w:vAlign w:val="center"/>
          </w:tcPr>
          <w:p w:rsidR="0094634A" w:rsidRDefault="0094634A" w:rsidP="006916CE">
            <w:pPr>
              <w:pStyle w:val="TableTextSmall"/>
              <w:keepNext/>
              <w:jc w:val="right"/>
            </w:pPr>
            <w:r w:rsidRPr="00226881">
              <w:t xml:space="preserve"> 4,125,562 </w:t>
            </w:r>
          </w:p>
        </w:tc>
        <w:tc>
          <w:tcPr>
            <w:tcW w:w="0" w:type="auto"/>
            <w:vAlign w:val="center"/>
          </w:tcPr>
          <w:p w:rsidR="0094634A" w:rsidRDefault="0094634A" w:rsidP="006916CE">
            <w:pPr>
              <w:pStyle w:val="TableTextSmall"/>
              <w:keepNext/>
              <w:jc w:val="right"/>
            </w:pPr>
            <w:r w:rsidRPr="00226881">
              <w:t xml:space="preserve"> 1,870,013 </w:t>
            </w:r>
          </w:p>
        </w:tc>
        <w:tc>
          <w:tcPr>
            <w:tcW w:w="0" w:type="auto"/>
            <w:vAlign w:val="center"/>
          </w:tcPr>
          <w:p w:rsidR="0094634A" w:rsidRDefault="0094634A" w:rsidP="006916CE">
            <w:pPr>
              <w:pStyle w:val="TableTextSmall"/>
              <w:keepNext/>
              <w:jc w:val="right"/>
            </w:pPr>
            <w:r w:rsidRPr="00226881">
              <w:t xml:space="preserve"> 2,255,549 </w:t>
            </w:r>
          </w:p>
        </w:tc>
      </w:tr>
      <w:tr w:rsidR="00065F81" w:rsidTr="0094634A">
        <w:tc>
          <w:tcPr>
            <w:tcW w:w="0" w:type="auto"/>
            <w:vAlign w:val="center"/>
          </w:tcPr>
          <w:p w:rsidR="0094634A" w:rsidRDefault="0094634A" w:rsidP="006916CE">
            <w:pPr>
              <w:pStyle w:val="TableTextSmall"/>
              <w:keepNext/>
            </w:pPr>
            <w:r w:rsidRPr="00226881">
              <w:t>Greater Geelong (C)</w:t>
            </w:r>
          </w:p>
        </w:tc>
        <w:tc>
          <w:tcPr>
            <w:tcW w:w="0" w:type="auto"/>
            <w:vAlign w:val="center"/>
          </w:tcPr>
          <w:p w:rsidR="0094634A" w:rsidRDefault="0094634A" w:rsidP="006916CE">
            <w:pPr>
              <w:pStyle w:val="TableTextSmall"/>
              <w:keepNext/>
            </w:pPr>
            <w:r w:rsidRPr="00226881">
              <w:t>Greater Geelong (C)</w:t>
            </w:r>
          </w:p>
        </w:tc>
        <w:tc>
          <w:tcPr>
            <w:tcW w:w="0" w:type="auto"/>
            <w:vAlign w:val="center"/>
          </w:tcPr>
          <w:p w:rsidR="0094634A" w:rsidRDefault="0094634A" w:rsidP="006916CE">
            <w:pPr>
              <w:pStyle w:val="TableTextSmall"/>
              <w:keepNext/>
              <w:jc w:val="right"/>
            </w:pPr>
            <w:r w:rsidRPr="00226881">
              <w:t xml:space="preserve"> 2,054,037 </w:t>
            </w:r>
          </w:p>
        </w:tc>
        <w:tc>
          <w:tcPr>
            <w:tcW w:w="0" w:type="auto"/>
            <w:vAlign w:val="center"/>
          </w:tcPr>
          <w:p w:rsidR="0094634A" w:rsidRDefault="0094634A" w:rsidP="006916CE">
            <w:pPr>
              <w:pStyle w:val="TableTextSmall"/>
              <w:keepNext/>
              <w:jc w:val="right"/>
            </w:pPr>
            <w:r w:rsidRPr="00226881">
              <w:t xml:space="preserve"> 982,681 </w:t>
            </w:r>
          </w:p>
        </w:tc>
        <w:tc>
          <w:tcPr>
            <w:tcW w:w="0" w:type="auto"/>
            <w:vAlign w:val="center"/>
          </w:tcPr>
          <w:p w:rsidR="0094634A" w:rsidRDefault="0094634A" w:rsidP="006916CE">
            <w:pPr>
              <w:pStyle w:val="TableTextSmall"/>
              <w:keepNext/>
              <w:jc w:val="right"/>
            </w:pPr>
            <w:r w:rsidRPr="00226881">
              <w:t xml:space="preserve"> 982,681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1,654,279 </w:t>
            </w:r>
          </w:p>
        </w:tc>
        <w:tc>
          <w:tcPr>
            <w:tcW w:w="0" w:type="auto"/>
            <w:vAlign w:val="center"/>
          </w:tcPr>
          <w:p w:rsidR="0094634A" w:rsidRDefault="0094634A" w:rsidP="006916CE">
            <w:pPr>
              <w:pStyle w:val="TableTextSmall"/>
              <w:keepNext/>
              <w:jc w:val="right"/>
            </w:pPr>
            <w:r w:rsidRPr="00226881">
              <w:t xml:space="preserve"> 1,654,279 </w:t>
            </w:r>
          </w:p>
        </w:tc>
        <w:tc>
          <w:tcPr>
            <w:tcW w:w="0" w:type="auto"/>
            <w:vAlign w:val="center"/>
          </w:tcPr>
          <w:p w:rsidR="0094634A" w:rsidRDefault="0094634A" w:rsidP="006916CE">
            <w:pPr>
              <w:pStyle w:val="TableTextSmall"/>
              <w:keepNext/>
              <w:jc w:val="right"/>
            </w:pPr>
            <w:r w:rsidRPr="00226881">
              <w:t xml:space="preserve"> -   </w:t>
            </w:r>
          </w:p>
        </w:tc>
      </w:tr>
      <w:tr w:rsidR="00065F81" w:rsidTr="0094634A">
        <w:tc>
          <w:tcPr>
            <w:tcW w:w="0" w:type="auto"/>
            <w:vAlign w:val="center"/>
          </w:tcPr>
          <w:p w:rsidR="0094634A" w:rsidRDefault="0094634A" w:rsidP="006916CE">
            <w:pPr>
              <w:pStyle w:val="TableTextSmall"/>
              <w:keepNext/>
            </w:pPr>
            <w:r w:rsidRPr="00226881">
              <w:t>Outer North</w:t>
            </w:r>
          </w:p>
        </w:tc>
        <w:tc>
          <w:tcPr>
            <w:tcW w:w="0" w:type="auto"/>
            <w:vAlign w:val="center"/>
          </w:tcPr>
          <w:p w:rsidR="0094634A" w:rsidRDefault="0094634A" w:rsidP="006916CE">
            <w:pPr>
              <w:pStyle w:val="TableTextSmall"/>
              <w:keepNext/>
            </w:pPr>
            <w:r w:rsidRPr="00226881">
              <w:t>Campaspe (S),Greater Bendigo (C),Greater Shepparton (C),Strathbogie (S)</w:t>
            </w:r>
          </w:p>
        </w:tc>
        <w:tc>
          <w:tcPr>
            <w:tcW w:w="0" w:type="auto"/>
            <w:vAlign w:val="center"/>
          </w:tcPr>
          <w:p w:rsidR="0094634A" w:rsidRDefault="0094634A" w:rsidP="006916CE">
            <w:pPr>
              <w:pStyle w:val="TableTextSmall"/>
              <w:keepNext/>
              <w:jc w:val="right"/>
            </w:pPr>
            <w:r w:rsidRPr="00226881">
              <w:t xml:space="preserve"> 1,163,519 </w:t>
            </w:r>
          </w:p>
        </w:tc>
        <w:tc>
          <w:tcPr>
            <w:tcW w:w="0" w:type="auto"/>
            <w:vAlign w:val="center"/>
          </w:tcPr>
          <w:p w:rsidR="0094634A" w:rsidRDefault="0094634A" w:rsidP="006916CE">
            <w:pPr>
              <w:pStyle w:val="TableTextSmall"/>
              <w:keepNext/>
              <w:jc w:val="right"/>
            </w:pPr>
            <w:r w:rsidRPr="00226881">
              <w:t xml:space="preserve"> 985,112 </w:t>
            </w:r>
          </w:p>
        </w:tc>
        <w:tc>
          <w:tcPr>
            <w:tcW w:w="0" w:type="auto"/>
            <w:vAlign w:val="center"/>
          </w:tcPr>
          <w:p w:rsidR="0094634A" w:rsidRDefault="0094634A" w:rsidP="006916CE">
            <w:pPr>
              <w:pStyle w:val="TableTextSmall"/>
              <w:keepNext/>
              <w:jc w:val="right"/>
            </w:pPr>
            <w:r w:rsidRPr="00226881">
              <w:t xml:space="preserve"> 985,112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1,718,806 </w:t>
            </w:r>
          </w:p>
        </w:tc>
        <w:tc>
          <w:tcPr>
            <w:tcW w:w="0" w:type="auto"/>
            <w:vAlign w:val="center"/>
          </w:tcPr>
          <w:p w:rsidR="0094634A" w:rsidRDefault="0094634A" w:rsidP="006916CE">
            <w:pPr>
              <w:pStyle w:val="TableTextSmall"/>
              <w:keepNext/>
              <w:jc w:val="right"/>
            </w:pPr>
            <w:r w:rsidRPr="00226881">
              <w:t xml:space="preserve"> 1,488,932 </w:t>
            </w:r>
          </w:p>
        </w:tc>
        <w:tc>
          <w:tcPr>
            <w:tcW w:w="0" w:type="auto"/>
            <w:vAlign w:val="center"/>
          </w:tcPr>
          <w:p w:rsidR="0094634A" w:rsidRDefault="0094634A" w:rsidP="006916CE">
            <w:pPr>
              <w:pStyle w:val="TableTextSmall"/>
              <w:keepNext/>
              <w:jc w:val="right"/>
            </w:pPr>
            <w:r w:rsidRPr="00226881">
              <w:t xml:space="preserve"> 229,874 </w:t>
            </w:r>
          </w:p>
        </w:tc>
      </w:tr>
      <w:tr w:rsidR="00065F81" w:rsidTr="0094634A">
        <w:tc>
          <w:tcPr>
            <w:tcW w:w="0" w:type="auto"/>
            <w:vAlign w:val="center"/>
          </w:tcPr>
          <w:p w:rsidR="0094634A" w:rsidRDefault="0094634A" w:rsidP="006916CE">
            <w:pPr>
              <w:pStyle w:val="TableTextSmall"/>
              <w:keepNext/>
            </w:pPr>
            <w:r w:rsidRPr="00226881">
              <w:t>Hume (C)</w:t>
            </w:r>
          </w:p>
        </w:tc>
        <w:tc>
          <w:tcPr>
            <w:tcW w:w="0" w:type="auto"/>
            <w:vAlign w:val="center"/>
          </w:tcPr>
          <w:p w:rsidR="0094634A" w:rsidRDefault="0094634A" w:rsidP="006916CE">
            <w:pPr>
              <w:pStyle w:val="TableTextSmall"/>
              <w:keepNext/>
            </w:pPr>
            <w:r w:rsidRPr="00226881">
              <w:t>Hume (C)</w:t>
            </w:r>
          </w:p>
        </w:tc>
        <w:tc>
          <w:tcPr>
            <w:tcW w:w="0" w:type="auto"/>
            <w:vAlign w:val="center"/>
          </w:tcPr>
          <w:p w:rsidR="0094634A" w:rsidRDefault="0094634A" w:rsidP="006916CE">
            <w:pPr>
              <w:pStyle w:val="TableTextSmall"/>
              <w:keepNext/>
              <w:jc w:val="right"/>
            </w:pPr>
            <w:r w:rsidRPr="00226881">
              <w:t xml:space="preserve"> 1,655,712 </w:t>
            </w:r>
          </w:p>
        </w:tc>
        <w:tc>
          <w:tcPr>
            <w:tcW w:w="0" w:type="auto"/>
            <w:vAlign w:val="center"/>
          </w:tcPr>
          <w:p w:rsidR="0094634A" w:rsidRDefault="0094634A" w:rsidP="006916CE">
            <w:pPr>
              <w:pStyle w:val="TableTextSmall"/>
              <w:keepNext/>
              <w:jc w:val="right"/>
            </w:pPr>
            <w:r w:rsidRPr="00226881">
              <w:t xml:space="preserve"> 949,091 </w:t>
            </w:r>
          </w:p>
        </w:tc>
        <w:tc>
          <w:tcPr>
            <w:tcW w:w="0" w:type="auto"/>
            <w:vAlign w:val="center"/>
          </w:tcPr>
          <w:p w:rsidR="0094634A" w:rsidRDefault="0094634A" w:rsidP="006916CE">
            <w:pPr>
              <w:pStyle w:val="TableTextSmall"/>
              <w:keepNext/>
              <w:jc w:val="right"/>
            </w:pPr>
            <w:r w:rsidRPr="00226881">
              <w:t xml:space="preserve"> 949,091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1,413,937 </w:t>
            </w:r>
          </w:p>
        </w:tc>
        <w:tc>
          <w:tcPr>
            <w:tcW w:w="0" w:type="auto"/>
            <w:vAlign w:val="center"/>
          </w:tcPr>
          <w:p w:rsidR="0094634A" w:rsidRDefault="0094634A" w:rsidP="006916CE">
            <w:pPr>
              <w:pStyle w:val="TableTextSmall"/>
              <w:keepNext/>
              <w:jc w:val="right"/>
            </w:pPr>
            <w:r w:rsidRPr="00226881">
              <w:t xml:space="preserve"> 1,238,500 </w:t>
            </w:r>
          </w:p>
        </w:tc>
        <w:tc>
          <w:tcPr>
            <w:tcW w:w="0" w:type="auto"/>
            <w:vAlign w:val="center"/>
          </w:tcPr>
          <w:p w:rsidR="0094634A" w:rsidRDefault="0094634A" w:rsidP="006916CE">
            <w:pPr>
              <w:pStyle w:val="TableTextSmall"/>
              <w:keepNext/>
              <w:jc w:val="right"/>
            </w:pPr>
            <w:r w:rsidRPr="00226881">
              <w:t xml:space="preserve"> 175,437 </w:t>
            </w:r>
          </w:p>
        </w:tc>
      </w:tr>
      <w:tr w:rsidR="00065F81" w:rsidTr="0094634A">
        <w:tc>
          <w:tcPr>
            <w:tcW w:w="0" w:type="auto"/>
            <w:vAlign w:val="center"/>
          </w:tcPr>
          <w:p w:rsidR="0094634A" w:rsidRDefault="0094634A" w:rsidP="006916CE">
            <w:pPr>
              <w:pStyle w:val="TableTextSmall"/>
              <w:keepNext/>
            </w:pPr>
            <w:r w:rsidRPr="00226881">
              <w:t>Central West</w:t>
            </w:r>
          </w:p>
        </w:tc>
        <w:tc>
          <w:tcPr>
            <w:tcW w:w="0" w:type="auto"/>
            <w:vAlign w:val="center"/>
          </w:tcPr>
          <w:p w:rsidR="0094634A" w:rsidRDefault="0094634A" w:rsidP="006916CE">
            <w:pPr>
              <w:pStyle w:val="TableTextSmall"/>
              <w:keepNext/>
            </w:pPr>
            <w:r w:rsidRPr="00226881">
              <w:t>Ararat (RC),Northern Grampians (S),Pyrenees (S)</w:t>
            </w:r>
          </w:p>
        </w:tc>
        <w:tc>
          <w:tcPr>
            <w:tcW w:w="0" w:type="auto"/>
            <w:vAlign w:val="center"/>
          </w:tcPr>
          <w:p w:rsidR="0094634A" w:rsidRDefault="0094634A" w:rsidP="006916CE">
            <w:pPr>
              <w:pStyle w:val="TableTextSmall"/>
              <w:keepNext/>
              <w:jc w:val="right"/>
            </w:pPr>
            <w:r w:rsidRPr="00226881">
              <w:t xml:space="preserve"> 753,708 </w:t>
            </w:r>
          </w:p>
        </w:tc>
        <w:tc>
          <w:tcPr>
            <w:tcW w:w="0" w:type="auto"/>
            <w:vAlign w:val="center"/>
          </w:tcPr>
          <w:p w:rsidR="0094634A" w:rsidRDefault="0094634A" w:rsidP="006916CE">
            <w:pPr>
              <w:pStyle w:val="TableTextSmall"/>
              <w:keepNext/>
              <w:jc w:val="right"/>
            </w:pPr>
            <w:r w:rsidRPr="00226881">
              <w:t xml:space="preserve"> 922,722 </w:t>
            </w:r>
          </w:p>
        </w:tc>
        <w:tc>
          <w:tcPr>
            <w:tcW w:w="0" w:type="auto"/>
            <w:vAlign w:val="center"/>
          </w:tcPr>
          <w:p w:rsidR="0094634A" w:rsidRDefault="0094634A" w:rsidP="006916CE">
            <w:pPr>
              <w:pStyle w:val="TableTextSmall"/>
              <w:keepNext/>
              <w:jc w:val="right"/>
            </w:pPr>
            <w:r w:rsidRPr="00226881">
              <w:t xml:space="preserve"> 922,722 </w:t>
            </w:r>
          </w:p>
        </w:tc>
        <w:tc>
          <w:tcPr>
            <w:tcW w:w="0" w:type="auto"/>
            <w:vAlign w:val="center"/>
          </w:tcPr>
          <w:p w:rsidR="0094634A" w:rsidRDefault="0094634A" w:rsidP="006916CE">
            <w:pPr>
              <w:pStyle w:val="TableTextSmall"/>
              <w:keepNext/>
              <w:jc w:val="right"/>
            </w:pPr>
            <w:r w:rsidRPr="00226881">
              <w:t xml:space="preserve"> -   </w:t>
            </w:r>
          </w:p>
        </w:tc>
        <w:tc>
          <w:tcPr>
            <w:tcW w:w="0" w:type="auto"/>
            <w:vAlign w:val="center"/>
          </w:tcPr>
          <w:p w:rsidR="0094634A" w:rsidRDefault="0094634A" w:rsidP="006916CE">
            <w:pPr>
              <w:pStyle w:val="TableTextSmall"/>
              <w:keepNext/>
              <w:jc w:val="right"/>
            </w:pPr>
            <w:r w:rsidRPr="00226881">
              <w:t xml:space="preserve"> 1,647,740 </w:t>
            </w:r>
          </w:p>
        </w:tc>
        <w:tc>
          <w:tcPr>
            <w:tcW w:w="0" w:type="auto"/>
            <w:vAlign w:val="center"/>
          </w:tcPr>
          <w:p w:rsidR="0094634A" w:rsidRDefault="0094634A" w:rsidP="006916CE">
            <w:pPr>
              <w:pStyle w:val="TableTextSmall"/>
              <w:keepNext/>
              <w:jc w:val="right"/>
            </w:pPr>
            <w:r w:rsidRPr="00226881">
              <w:t xml:space="preserve"> 1,106,338 </w:t>
            </w:r>
          </w:p>
        </w:tc>
        <w:tc>
          <w:tcPr>
            <w:tcW w:w="0" w:type="auto"/>
            <w:vAlign w:val="center"/>
          </w:tcPr>
          <w:p w:rsidR="0094634A" w:rsidRDefault="0094634A" w:rsidP="006916CE">
            <w:pPr>
              <w:pStyle w:val="TableTextSmall"/>
              <w:keepNext/>
              <w:jc w:val="right"/>
            </w:pPr>
            <w:r w:rsidRPr="00226881">
              <w:t xml:space="preserve"> 541,402 </w:t>
            </w:r>
          </w:p>
        </w:tc>
      </w:tr>
    </w:tbl>
    <w:p w:rsidR="0094634A" w:rsidRDefault="0094634A" w:rsidP="006916CE">
      <w:pPr>
        <w:pStyle w:val="Sources"/>
        <w:keepNext/>
      </w:pPr>
      <w:r>
        <w:t>Source: PwC analysis</w:t>
      </w:r>
    </w:p>
    <w:p w:rsidR="00A23387" w:rsidRDefault="00A23387" w:rsidP="006916CE">
      <w:pPr>
        <w:pStyle w:val="PwCNormal"/>
      </w:pPr>
    </w:p>
    <w:p w:rsidR="00A23387" w:rsidRDefault="00A23387">
      <w:pPr>
        <w:pStyle w:val="Caption"/>
      </w:pPr>
      <w:bookmarkStart w:id="212" w:name="_Ref448143932"/>
      <w:r>
        <w:t xml:space="preserve">Figure </w:t>
      </w:r>
      <w:fldSimple w:instr=" SEQ Figure \* ARABIC ">
        <w:r w:rsidR="00E22E13">
          <w:rPr>
            <w:noProof/>
          </w:rPr>
          <w:t>38</w:t>
        </w:r>
      </w:fldSimple>
      <w:bookmarkEnd w:id="212"/>
      <w:r>
        <w:t xml:space="preserve">: </w:t>
      </w:r>
      <w:r w:rsidR="00916022">
        <w:t>Criterion 3</w:t>
      </w:r>
      <w:r w:rsidR="005D2934">
        <w:t xml:space="preserve"> – Supply locations with significant production levels: Hard rock</w:t>
      </w:r>
    </w:p>
    <w:p w:rsidR="0094634A" w:rsidRDefault="00701319" w:rsidP="006916CE">
      <w:pPr>
        <w:pStyle w:val="Sources"/>
      </w:pPr>
      <w:r>
        <w:rPr>
          <w:noProof/>
          <w:snapToGrid/>
          <w:lang w:eastAsia="en-AU"/>
        </w:rPr>
        <w:drawing>
          <wp:inline distT="0" distB="0" distL="0" distR="0" wp14:anchorId="49AFDF1F" wp14:editId="7B0F8A6A">
            <wp:extent cx="6818050" cy="4957655"/>
            <wp:effectExtent l="0" t="0" r="1905" b="0"/>
            <wp:docPr id="702" name="Picture 702" descr="Figure 38 maps the supply locations with significant hard rock production levels (criteria 3). It shows that production is heaviest in the Inner South East and South Gippsland. &#10;&#10;"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818050" cy="4957655"/>
                    </a:xfrm>
                    <a:prstGeom prst="rect">
                      <a:avLst/>
                    </a:prstGeom>
                  </pic:spPr>
                </pic:pic>
              </a:graphicData>
            </a:graphic>
          </wp:inline>
        </w:drawing>
      </w:r>
      <w:r w:rsidR="00A23387">
        <w:t>Source: PwC analysis</w:t>
      </w:r>
    </w:p>
    <w:p w:rsidR="00201183" w:rsidRDefault="00201183" w:rsidP="006916CE">
      <w:pPr>
        <w:pStyle w:val="Heading7"/>
      </w:pPr>
      <w:r>
        <w:t>Sand and gravel</w:t>
      </w:r>
    </w:p>
    <w:p w:rsidR="00201183" w:rsidRDefault="00201183" w:rsidP="00201183">
      <w:pPr>
        <w:pStyle w:val="PwCNormal"/>
      </w:pPr>
      <w:r>
        <w:t xml:space="preserve">Victorian locations producing significant volumes of sand and gravel resources across the analysis period are listed in </w:t>
      </w:r>
      <w:r>
        <w:fldChar w:fldCharType="begin"/>
      </w:r>
      <w:r>
        <w:instrText xml:space="preserve"> REF _Ref448144137 \h </w:instrText>
      </w:r>
      <w:r>
        <w:fldChar w:fldCharType="separate"/>
      </w:r>
      <w:r w:rsidR="00E22E13">
        <w:t xml:space="preserve">Table </w:t>
      </w:r>
      <w:r w:rsidR="00E22E13">
        <w:rPr>
          <w:noProof/>
        </w:rPr>
        <w:t>15</w:t>
      </w:r>
      <w:r>
        <w:fldChar w:fldCharType="end"/>
      </w:r>
      <w:r>
        <w:t xml:space="preserve">, ordered by their respective levels of 2050 production. Identified production shortfalls are also listed in the table. The production shortfall refers to the difference between the level of demand allocated to a location, which is based on its current and planned future licensed reserves and production levels, and the level of production from that location. </w:t>
      </w:r>
    </w:p>
    <w:p w:rsidR="00201183" w:rsidRDefault="00201183" w:rsidP="00201183">
      <w:pPr>
        <w:pStyle w:val="PwCNormal"/>
      </w:pPr>
      <w:r>
        <w:t xml:space="preserve">The locations listed in </w:t>
      </w:r>
      <w:r w:rsidR="00006FF5">
        <w:fldChar w:fldCharType="begin"/>
      </w:r>
      <w:r w:rsidR="00006FF5">
        <w:instrText xml:space="preserve"> REF _Ref448144137 \h </w:instrText>
      </w:r>
      <w:r w:rsidR="00006FF5">
        <w:fldChar w:fldCharType="separate"/>
      </w:r>
      <w:r w:rsidR="00E22E13">
        <w:t xml:space="preserve">Table </w:t>
      </w:r>
      <w:r w:rsidR="00E22E13">
        <w:rPr>
          <w:noProof/>
        </w:rPr>
        <w:t>15</w:t>
      </w:r>
      <w:r w:rsidR="00006FF5">
        <w:fldChar w:fldCharType="end"/>
      </w:r>
      <w:r>
        <w:t xml:space="preserve"> are recognised as producing at least four hundred thousand tonnes of sand and gravel material in 2050. </w:t>
      </w:r>
    </w:p>
    <w:p w:rsidR="00201183" w:rsidRPr="00201183" w:rsidRDefault="00006FF5" w:rsidP="006916CE">
      <w:pPr>
        <w:pStyle w:val="PwCNormal"/>
      </w:pPr>
      <w:r>
        <w:fldChar w:fldCharType="begin"/>
      </w:r>
      <w:r>
        <w:instrText xml:space="preserve"> REF _Ref448409989 \h </w:instrText>
      </w:r>
      <w:r>
        <w:fldChar w:fldCharType="separate"/>
      </w:r>
      <w:r w:rsidR="00E22E13">
        <w:t xml:space="preserve">Figure </w:t>
      </w:r>
      <w:r w:rsidR="00E22E13">
        <w:rPr>
          <w:noProof/>
        </w:rPr>
        <w:t>39</w:t>
      </w:r>
      <w:r>
        <w:fldChar w:fldCharType="end"/>
      </w:r>
      <w:r w:rsidR="00201183">
        <w:t xml:space="preserve"> maps the level of cumulative production by locations in Victoria for sand and gravel across the entirety of the analysis period; that is, from 2015</w:t>
      </w:r>
      <w:r w:rsidR="007303D4">
        <w:t xml:space="preserve"> to 20</w:t>
      </w:r>
      <w:r w:rsidR="00201183">
        <w:t>50. The figure demonstrates that significant levels of production are expected from the region to the South East of Melbourne, which incorporates LGAs such as South Gippsland, Cardinia, Baw Baw, Bass Coast, Frankston, Kingston and Mornington Peninsula. The Inner West region comprising Macedon Ranges and Moorabool is also expected to produce large volumes of Victoria’s sand and gravel requirements, with strong production also being located in the State’s Northern locations such as Greater Shepparton and Indigo, among others.</w:t>
      </w:r>
    </w:p>
    <w:p w:rsidR="0094634A" w:rsidRDefault="0094634A" w:rsidP="006916CE">
      <w:pPr>
        <w:pStyle w:val="Minorheading2"/>
      </w:pPr>
      <w:bookmarkStart w:id="213" w:name="_Ref448144137"/>
      <w:r>
        <w:t xml:space="preserve">Table </w:t>
      </w:r>
      <w:fldSimple w:instr=" SEQ Table \* ARABIC ">
        <w:r w:rsidR="00E22E13">
          <w:rPr>
            <w:noProof/>
          </w:rPr>
          <w:t>15</w:t>
        </w:r>
      </w:fldSimple>
      <w:bookmarkEnd w:id="213"/>
      <w:r>
        <w:t xml:space="preserve">: </w:t>
      </w:r>
      <w:r w:rsidR="00916022">
        <w:t>Criterion 3</w:t>
      </w:r>
      <w:r w:rsidRPr="00177876">
        <w:t xml:space="preserve"> – Supply locations with significant production levels: </w:t>
      </w:r>
      <w:r>
        <w:t>Sand and gravel</w:t>
      </w:r>
    </w:p>
    <w:tbl>
      <w:tblPr>
        <w:tblStyle w:val="Tables-APBase"/>
        <w:tblW w:w="0" w:type="auto"/>
        <w:tblLook w:val="04A0" w:firstRow="1" w:lastRow="0" w:firstColumn="1" w:lastColumn="0" w:noHBand="0" w:noVBand="1"/>
        <w:tblCaption w:val="Table 15 "/>
        <w:tblDescription w:val="Table 15 applies criterion 3 and lists supply locations with significant sand and gravel production levels. In descending order, they are South Gippsland, Cardinia, Baw Baw, Inner West (comprising Macedon Ranges and Moorabool), Bass Coast, Inner South East (comprising Frankston, Kingston, Mornington Peninsula), Outer North (comprising Campaspe, Greater Shepparton) and Outer North East (comprising Indigo, Towong and Wodonga). "/>
      </w:tblPr>
      <w:tblGrid>
        <w:gridCol w:w="1319"/>
        <w:gridCol w:w="2714"/>
        <w:gridCol w:w="1522"/>
        <w:gridCol w:w="1522"/>
        <w:gridCol w:w="1254"/>
        <w:gridCol w:w="1472"/>
        <w:gridCol w:w="1522"/>
        <w:gridCol w:w="1257"/>
        <w:gridCol w:w="1468"/>
      </w:tblGrid>
      <w:tr w:rsidR="0094634A"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94634A" w:rsidRDefault="0094634A" w:rsidP="0094634A">
            <w:pPr>
              <w:pStyle w:val="TableColumnHeadingSmall"/>
            </w:pPr>
            <w:r w:rsidRPr="00226881">
              <w:t>Region name</w:t>
            </w:r>
          </w:p>
        </w:tc>
        <w:tc>
          <w:tcPr>
            <w:tcW w:w="0" w:type="auto"/>
          </w:tcPr>
          <w:p w:rsidR="0094634A" w:rsidRDefault="0094634A" w:rsidP="0094634A">
            <w:pPr>
              <w:pStyle w:val="TableColumnHeadingSmall"/>
              <w:cnfStyle w:val="100000000000" w:firstRow="1" w:lastRow="0" w:firstColumn="0" w:lastColumn="0" w:oddVBand="0" w:evenVBand="0" w:oddHBand="0" w:evenHBand="0" w:firstRowFirstColumn="0" w:firstRowLastColumn="0" w:lastRowFirstColumn="0" w:lastRowLastColumn="0"/>
            </w:pPr>
            <w:r w:rsidRPr="00226881">
              <w:t>LGAs in region</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2015</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2025</w:t>
            </w:r>
          </w:p>
        </w:tc>
        <w:tc>
          <w:tcPr>
            <w:tcW w:w="1254" w:type="dxa"/>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2025</w:t>
            </w:r>
          </w:p>
        </w:tc>
        <w:tc>
          <w:tcPr>
            <w:tcW w:w="1472" w:type="dxa"/>
          </w:tcPr>
          <w:p w:rsidR="0094634A" w:rsidRDefault="00201183"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94634A" w:rsidRPr="00226881">
              <w:t>, 2025</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2050</w:t>
            </w:r>
          </w:p>
        </w:tc>
        <w:tc>
          <w:tcPr>
            <w:tcW w:w="1257" w:type="dxa"/>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2050</w:t>
            </w:r>
          </w:p>
        </w:tc>
        <w:tc>
          <w:tcPr>
            <w:tcW w:w="1468" w:type="dxa"/>
          </w:tcPr>
          <w:p w:rsidR="0094634A" w:rsidRDefault="00201183">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94634A" w:rsidRPr="00226881">
              <w:t>, 2050</w:t>
            </w:r>
          </w:p>
        </w:tc>
      </w:tr>
      <w:tr w:rsidR="0094634A" w:rsidTr="006916CE">
        <w:tc>
          <w:tcPr>
            <w:tcW w:w="0" w:type="auto"/>
            <w:vAlign w:val="center"/>
          </w:tcPr>
          <w:p w:rsidR="0094634A" w:rsidRDefault="0094634A" w:rsidP="00A23387">
            <w:pPr>
              <w:pStyle w:val="TableTextSmall"/>
            </w:pPr>
            <w:r w:rsidRPr="00110225">
              <w:t>South Gippsland (S)</w:t>
            </w:r>
          </w:p>
        </w:tc>
        <w:tc>
          <w:tcPr>
            <w:tcW w:w="0" w:type="auto"/>
            <w:vAlign w:val="center"/>
          </w:tcPr>
          <w:p w:rsidR="0094634A" w:rsidRDefault="0094634A" w:rsidP="00A23387">
            <w:pPr>
              <w:pStyle w:val="TableTextSmall"/>
            </w:pPr>
            <w:r w:rsidRPr="00110225">
              <w:t>South Gippsland (S)</w:t>
            </w:r>
          </w:p>
        </w:tc>
        <w:tc>
          <w:tcPr>
            <w:tcW w:w="0" w:type="auto"/>
            <w:vAlign w:val="center"/>
          </w:tcPr>
          <w:p w:rsidR="0094634A" w:rsidRDefault="0094634A" w:rsidP="007023B5">
            <w:pPr>
              <w:pStyle w:val="TableTextSmall"/>
              <w:jc w:val="right"/>
            </w:pPr>
            <w:r w:rsidRPr="00110225">
              <w:t xml:space="preserve"> 2,344,090 </w:t>
            </w:r>
          </w:p>
        </w:tc>
        <w:tc>
          <w:tcPr>
            <w:tcW w:w="0" w:type="auto"/>
            <w:vAlign w:val="center"/>
          </w:tcPr>
          <w:p w:rsidR="0094634A" w:rsidRDefault="0094634A">
            <w:pPr>
              <w:pStyle w:val="TableTextSmall"/>
              <w:jc w:val="right"/>
            </w:pPr>
            <w:r w:rsidRPr="00110225">
              <w:t xml:space="preserve"> 2,563,219 </w:t>
            </w:r>
          </w:p>
        </w:tc>
        <w:tc>
          <w:tcPr>
            <w:tcW w:w="1254" w:type="dxa"/>
            <w:vAlign w:val="center"/>
          </w:tcPr>
          <w:p w:rsidR="0094634A" w:rsidRDefault="0094634A">
            <w:pPr>
              <w:pStyle w:val="TableTextSmall"/>
              <w:jc w:val="right"/>
            </w:pPr>
            <w:r w:rsidRPr="00110225">
              <w:t xml:space="preserve"> 2,551,794 </w:t>
            </w:r>
          </w:p>
        </w:tc>
        <w:tc>
          <w:tcPr>
            <w:tcW w:w="1472" w:type="dxa"/>
            <w:vAlign w:val="center"/>
          </w:tcPr>
          <w:p w:rsidR="0094634A" w:rsidRDefault="0094634A">
            <w:pPr>
              <w:pStyle w:val="TableTextSmall"/>
              <w:jc w:val="right"/>
            </w:pPr>
            <w:r w:rsidRPr="00110225">
              <w:t xml:space="preserve"> 11,425 </w:t>
            </w:r>
          </w:p>
        </w:tc>
        <w:tc>
          <w:tcPr>
            <w:tcW w:w="0" w:type="auto"/>
            <w:vAlign w:val="center"/>
          </w:tcPr>
          <w:p w:rsidR="0094634A" w:rsidRDefault="0094634A">
            <w:pPr>
              <w:pStyle w:val="TableTextSmall"/>
              <w:jc w:val="right"/>
            </w:pPr>
            <w:r w:rsidRPr="00110225">
              <w:t xml:space="preserve"> 3,156,098 </w:t>
            </w:r>
          </w:p>
        </w:tc>
        <w:tc>
          <w:tcPr>
            <w:tcW w:w="1257" w:type="dxa"/>
            <w:vAlign w:val="center"/>
          </w:tcPr>
          <w:p w:rsidR="0094634A" w:rsidRDefault="0094634A">
            <w:pPr>
              <w:pStyle w:val="TableTextSmall"/>
              <w:jc w:val="right"/>
            </w:pPr>
            <w:r w:rsidRPr="00110225">
              <w:t xml:space="preserve"> 2,830,829 </w:t>
            </w:r>
          </w:p>
        </w:tc>
        <w:tc>
          <w:tcPr>
            <w:tcW w:w="1468" w:type="dxa"/>
            <w:vAlign w:val="center"/>
          </w:tcPr>
          <w:p w:rsidR="0094634A" w:rsidRDefault="0094634A">
            <w:pPr>
              <w:pStyle w:val="TableTextSmall"/>
              <w:jc w:val="right"/>
            </w:pPr>
            <w:r w:rsidRPr="00110225">
              <w:t xml:space="preserve"> 325,269 </w:t>
            </w:r>
          </w:p>
        </w:tc>
      </w:tr>
      <w:tr w:rsidR="0094634A" w:rsidTr="006916CE">
        <w:tc>
          <w:tcPr>
            <w:tcW w:w="0" w:type="auto"/>
            <w:vAlign w:val="center"/>
          </w:tcPr>
          <w:p w:rsidR="0094634A" w:rsidRDefault="0094634A" w:rsidP="00A23387">
            <w:pPr>
              <w:pStyle w:val="TableTextSmall"/>
            </w:pPr>
            <w:r w:rsidRPr="00110225">
              <w:t>Cardinia (S)</w:t>
            </w:r>
          </w:p>
        </w:tc>
        <w:tc>
          <w:tcPr>
            <w:tcW w:w="0" w:type="auto"/>
            <w:vAlign w:val="center"/>
          </w:tcPr>
          <w:p w:rsidR="0094634A" w:rsidRDefault="0094634A" w:rsidP="00A23387">
            <w:pPr>
              <w:pStyle w:val="TableTextSmall"/>
            </w:pPr>
            <w:r w:rsidRPr="00110225">
              <w:t>Cardinia (S)</w:t>
            </w:r>
          </w:p>
        </w:tc>
        <w:tc>
          <w:tcPr>
            <w:tcW w:w="0" w:type="auto"/>
            <w:vAlign w:val="center"/>
          </w:tcPr>
          <w:p w:rsidR="0094634A" w:rsidRDefault="0094634A" w:rsidP="007023B5">
            <w:pPr>
              <w:pStyle w:val="TableTextSmall"/>
              <w:jc w:val="right"/>
            </w:pPr>
            <w:r w:rsidRPr="00110225">
              <w:t xml:space="preserve"> 439,302 </w:t>
            </w:r>
          </w:p>
        </w:tc>
        <w:tc>
          <w:tcPr>
            <w:tcW w:w="0" w:type="auto"/>
            <w:vAlign w:val="center"/>
          </w:tcPr>
          <w:p w:rsidR="0094634A" w:rsidRDefault="0094634A">
            <w:pPr>
              <w:pStyle w:val="TableTextSmall"/>
              <w:jc w:val="right"/>
            </w:pPr>
            <w:r w:rsidRPr="00110225">
              <w:t xml:space="preserve"> 2,209,826 </w:t>
            </w:r>
          </w:p>
        </w:tc>
        <w:tc>
          <w:tcPr>
            <w:tcW w:w="1254" w:type="dxa"/>
            <w:vAlign w:val="center"/>
          </w:tcPr>
          <w:p w:rsidR="0094634A" w:rsidRDefault="0094634A">
            <w:pPr>
              <w:pStyle w:val="TableTextSmall"/>
              <w:jc w:val="right"/>
            </w:pPr>
            <w:r w:rsidRPr="00110225">
              <w:t xml:space="preserve"> 2,209,826 </w:t>
            </w:r>
          </w:p>
        </w:tc>
        <w:tc>
          <w:tcPr>
            <w:tcW w:w="1472" w:type="dxa"/>
            <w:vAlign w:val="center"/>
          </w:tcPr>
          <w:p w:rsidR="0094634A" w:rsidRDefault="0094634A">
            <w:pPr>
              <w:pStyle w:val="TableTextSmall"/>
              <w:jc w:val="right"/>
            </w:pPr>
            <w:r w:rsidRPr="00110225">
              <w:t xml:space="preserve"> -   </w:t>
            </w:r>
          </w:p>
        </w:tc>
        <w:tc>
          <w:tcPr>
            <w:tcW w:w="0" w:type="auto"/>
            <w:vAlign w:val="center"/>
          </w:tcPr>
          <w:p w:rsidR="0094634A" w:rsidRDefault="0094634A">
            <w:pPr>
              <w:pStyle w:val="TableTextSmall"/>
              <w:jc w:val="right"/>
            </w:pPr>
            <w:r w:rsidRPr="00110225">
              <w:t xml:space="preserve"> 2,620,890 </w:t>
            </w:r>
          </w:p>
        </w:tc>
        <w:tc>
          <w:tcPr>
            <w:tcW w:w="1257" w:type="dxa"/>
            <w:vAlign w:val="center"/>
          </w:tcPr>
          <w:p w:rsidR="0094634A" w:rsidRDefault="0094634A">
            <w:pPr>
              <w:pStyle w:val="TableTextSmall"/>
              <w:jc w:val="right"/>
            </w:pPr>
            <w:r w:rsidRPr="00110225">
              <w:t xml:space="preserve"> 2,620,890 </w:t>
            </w:r>
          </w:p>
        </w:tc>
        <w:tc>
          <w:tcPr>
            <w:tcW w:w="1468" w:type="dxa"/>
            <w:vAlign w:val="center"/>
          </w:tcPr>
          <w:p w:rsidR="0094634A" w:rsidRDefault="0094634A">
            <w:pPr>
              <w:pStyle w:val="TableTextSmall"/>
              <w:jc w:val="right"/>
            </w:pPr>
            <w:r w:rsidRPr="00110225">
              <w:t xml:space="preserve"> -   </w:t>
            </w:r>
          </w:p>
        </w:tc>
      </w:tr>
      <w:tr w:rsidR="0094634A" w:rsidTr="006916CE">
        <w:tc>
          <w:tcPr>
            <w:tcW w:w="0" w:type="auto"/>
            <w:vAlign w:val="center"/>
          </w:tcPr>
          <w:p w:rsidR="0094634A" w:rsidRDefault="0094634A" w:rsidP="00A23387">
            <w:pPr>
              <w:pStyle w:val="TableTextSmall"/>
            </w:pPr>
            <w:r w:rsidRPr="00110225">
              <w:t>Baw Baw (S)</w:t>
            </w:r>
          </w:p>
        </w:tc>
        <w:tc>
          <w:tcPr>
            <w:tcW w:w="0" w:type="auto"/>
            <w:vAlign w:val="center"/>
          </w:tcPr>
          <w:p w:rsidR="0094634A" w:rsidRDefault="0094634A" w:rsidP="00A23387">
            <w:pPr>
              <w:pStyle w:val="TableTextSmall"/>
            </w:pPr>
            <w:r w:rsidRPr="00110225">
              <w:t>Baw Baw (S)</w:t>
            </w:r>
          </w:p>
        </w:tc>
        <w:tc>
          <w:tcPr>
            <w:tcW w:w="0" w:type="auto"/>
            <w:vAlign w:val="center"/>
          </w:tcPr>
          <w:p w:rsidR="0094634A" w:rsidRDefault="0094634A" w:rsidP="007023B5">
            <w:pPr>
              <w:pStyle w:val="TableTextSmall"/>
              <w:jc w:val="right"/>
            </w:pPr>
            <w:r w:rsidRPr="00110225">
              <w:t xml:space="preserve"> 23,393 </w:t>
            </w:r>
          </w:p>
        </w:tc>
        <w:tc>
          <w:tcPr>
            <w:tcW w:w="0" w:type="auto"/>
            <w:vAlign w:val="center"/>
          </w:tcPr>
          <w:p w:rsidR="0094634A" w:rsidRDefault="0094634A">
            <w:pPr>
              <w:pStyle w:val="TableTextSmall"/>
              <w:jc w:val="right"/>
            </w:pPr>
            <w:r w:rsidRPr="00110225">
              <w:t xml:space="preserve"> 1,465,513 </w:t>
            </w:r>
          </w:p>
        </w:tc>
        <w:tc>
          <w:tcPr>
            <w:tcW w:w="1254" w:type="dxa"/>
            <w:vAlign w:val="center"/>
          </w:tcPr>
          <w:p w:rsidR="0094634A" w:rsidRDefault="0094634A">
            <w:pPr>
              <w:pStyle w:val="TableTextSmall"/>
              <w:jc w:val="right"/>
            </w:pPr>
            <w:r w:rsidRPr="00110225">
              <w:t xml:space="preserve"> 1,465,513 </w:t>
            </w:r>
          </w:p>
        </w:tc>
        <w:tc>
          <w:tcPr>
            <w:tcW w:w="1472" w:type="dxa"/>
            <w:vAlign w:val="center"/>
          </w:tcPr>
          <w:p w:rsidR="0094634A" w:rsidRDefault="0094634A">
            <w:pPr>
              <w:pStyle w:val="TableTextSmall"/>
              <w:jc w:val="right"/>
            </w:pPr>
            <w:r w:rsidRPr="00110225">
              <w:t xml:space="preserve"> -   </w:t>
            </w:r>
          </w:p>
        </w:tc>
        <w:tc>
          <w:tcPr>
            <w:tcW w:w="0" w:type="auto"/>
            <w:vAlign w:val="center"/>
          </w:tcPr>
          <w:p w:rsidR="0094634A" w:rsidRDefault="0094634A">
            <w:pPr>
              <w:pStyle w:val="TableTextSmall"/>
              <w:jc w:val="right"/>
            </w:pPr>
            <w:r w:rsidRPr="00110225">
              <w:t xml:space="preserve"> 1,743,002 </w:t>
            </w:r>
          </w:p>
        </w:tc>
        <w:tc>
          <w:tcPr>
            <w:tcW w:w="1257" w:type="dxa"/>
            <w:vAlign w:val="center"/>
          </w:tcPr>
          <w:p w:rsidR="0094634A" w:rsidRDefault="0094634A">
            <w:pPr>
              <w:pStyle w:val="TableTextSmall"/>
              <w:jc w:val="right"/>
            </w:pPr>
            <w:r w:rsidRPr="00110225">
              <w:t xml:space="preserve"> 1,743,002 </w:t>
            </w:r>
          </w:p>
        </w:tc>
        <w:tc>
          <w:tcPr>
            <w:tcW w:w="1468" w:type="dxa"/>
            <w:vAlign w:val="center"/>
          </w:tcPr>
          <w:p w:rsidR="0094634A" w:rsidRDefault="0094634A">
            <w:pPr>
              <w:pStyle w:val="TableTextSmall"/>
              <w:jc w:val="right"/>
            </w:pPr>
            <w:r w:rsidRPr="00110225">
              <w:t xml:space="preserve"> -   </w:t>
            </w:r>
          </w:p>
        </w:tc>
      </w:tr>
      <w:tr w:rsidR="0094634A" w:rsidTr="006916CE">
        <w:tc>
          <w:tcPr>
            <w:tcW w:w="0" w:type="auto"/>
            <w:vAlign w:val="center"/>
          </w:tcPr>
          <w:p w:rsidR="0094634A" w:rsidRDefault="0094634A" w:rsidP="00A23387">
            <w:pPr>
              <w:pStyle w:val="TableTextSmall"/>
            </w:pPr>
            <w:r w:rsidRPr="00110225">
              <w:t>Inner West</w:t>
            </w:r>
          </w:p>
        </w:tc>
        <w:tc>
          <w:tcPr>
            <w:tcW w:w="0" w:type="auto"/>
            <w:vAlign w:val="center"/>
          </w:tcPr>
          <w:p w:rsidR="0094634A" w:rsidRDefault="0094634A" w:rsidP="00A23387">
            <w:pPr>
              <w:pStyle w:val="TableTextSmall"/>
            </w:pPr>
            <w:r w:rsidRPr="00110225">
              <w:t>Macedon Ranges (S),Moorabool (S)</w:t>
            </w:r>
          </w:p>
        </w:tc>
        <w:tc>
          <w:tcPr>
            <w:tcW w:w="0" w:type="auto"/>
            <w:vAlign w:val="center"/>
          </w:tcPr>
          <w:p w:rsidR="0094634A" w:rsidRDefault="0094634A" w:rsidP="007023B5">
            <w:pPr>
              <w:pStyle w:val="TableTextSmall"/>
              <w:jc w:val="right"/>
            </w:pPr>
            <w:r w:rsidRPr="00110225">
              <w:t xml:space="preserve"> 2,072,254 </w:t>
            </w:r>
          </w:p>
        </w:tc>
        <w:tc>
          <w:tcPr>
            <w:tcW w:w="0" w:type="auto"/>
            <w:vAlign w:val="center"/>
          </w:tcPr>
          <w:p w:rsidR="0094634A" w:rsidRDefault="0094634A">
            <w:pPr>
              <w:pStyle w:val="TableTextSmall"/>
              <w:jc w:val="right"/>
            </w:pPr>
            <w:r w:rsidRPr="00110225">
              <w:t xml:space="preserve"> 1,416,978 </w:t>
            </w:r>
          </w:p>
        </w:tc>
        <w:tc>
          <w:tcPr>
            <w:tcW w:w="1254" w:type="dxa"/>
            <w:vAlign w:val="center"/>
          </w:tcPr>
          <w:p w:rsidR="0094634A" w:rsidRDefault="0094634A">
            <w:pPr>
              <w:pStyle w:val="TableTextSmall"/>
              <w:jc w:val="right"/>
            </w:pPr>
            <w:r w:rsidRPr="00110225">
              <w:t xml:space="preserve"> 1,358,593 </w:t>
            </w:r>
          </w:p>
        </w:tc>
        <w:tc>
          <w:tcPr>
            <w:tcW w:w="1472" w:type="dxa"/>
            <w:vAlign w:val="center"/>
          </w:tcPr>
          <w:p w:rsidR="0094634A" w:rsidRDefault="0094634A">
            <w:pPr>
              <w:pStyle w:val="TableTextSmall"/>
              <w:jc w:val="right"/>
            </w:pPr>
            <w:r w:rsidRPr="00110225">
              <w:t xml:space="preserve"> 58,385 </w:t>
            </w:r>
          </w:p>
        </w:tc>
        <w:tc>
          <w:tcPr>
            <w:tcW w:w="0" w:type="auto"/>
            <w:vAlign w:val="center"/>
          </w:tcPr>
          <w:p w:rsidR="0094634A" w:rsidRDefault="0094634A">
            <w:pPr>
              <w:pStyle w:val="TableTextSmall"/>
              <w:jc w:val="right"/>
            </w:pPr>
            <w:r w:rsidRPr="00110225">
              <w:t xml:space="preserve"> 1,710,791 </w:t>
            </w:r>
          </w:p>
        </w:tc>
        <w:tc>
          <w:tcPr>
            <w:tcW w:w="1257" w:type="dxa"/>
            <w:vAlign w:val="center"/>
          </w:tcPr>
          <w:p w:rsidR="0094634A" w:rsidRDefault="0094634A">
            <w:pPr>
              <w:pStyle w:val="TableTextSmall"/>
              <w:jc w:val="right"/>
            </w:pPr>
            <w:r w:rsidRPr="00110225">
              <w:t xml:space="preserve"> 686,296 </w:t>
            </w:r>
          </w:p>
        </w:tc>
        <w:tc>
          <w:tcPr>
            <w:tcW w:w="1468" w:type="dxa"/>
            <w:vAlign w:val="center"/>
          </w:tcPr>
          <w:p w:rsidR="0094634A" w:rsidRDefault="0094634A">
            <w:pPr>
              <w:pStyle w:val="TableTextSmall"/>
              <w:jc w:val="right"/>
            </w:pPr>
            <w:r w:rsidRPr="00110225">
              <w:t xml:space="preserve"> 1,024,495 </w:t>
            </w:r>
          </w:p>
        </w:tc>
      </w:tr>
      <w:tr w:rsidR="0094634A" w:rsidTr="006916CE">
        <w:tc>
          <w:tcPr>
            <w:tcW w:w="0" w:type="auto"/>
            <w:vAlign w:val="center"/>
          </w:tcPr>
          <w:p w:rsidR="0094634A" w:rsidRDefault="0094634A" w:rsidP="00A23387">
            <w:pPr>
              <w:pStyle w:val="TableTextSmall"/>
            </w:pPr>
            <w:r w:rsidRPr="00110225">
              <w:t>Bass Coast (S)</w:t>
            </w:r>
          </w:p>
        </w:tc>
        <w:tc>
          <w:tcPr>
            <w:tcW w:w="0" w:type="auto"/>
            <w:vAlign w:val="center"/>
          </w:tcPr>
          <w:p w:rsidR="0094634A" w:rsidRDefault="0094634A" w:rsidP="00A23387">
            <w:pPr>
              <w:pStyle w:val="TableTextSmall"/>
            </w:pPr>
            <w:r w:rsidRPr="00110225">
              <w:t>Bass Coast (S)</w:t>
            </w:r>
          </w:p>
        </w:tc>
        <w:tc>
          <w:tcPr>
            <w:tcW w:w="0" w:type="auto"/>
            <w:vAlign w:val="center"/>
          </w:tcPr>
          <w:p w:rsidR="0094634A" w:rsidRDefault="0094634A" w:rsidP="007023B5">
            <w:pPr>
              <w:pStyle w:val="TableTextSmall"/>
              <w:jc w:val="right"/>
            </w:pPr>
            <w:r w:rsidRPr="00110225">
              <w:t xml:space="preserve"> 894,340 </w:t>
            </w:r>
          </w:p>
        </w:tc>
        <w:tc>
          <w:tcPr>
            <w:tcW w:w="0" w:type="auto"/>
            <w:vAlign w:val="center"/>
          </w:tcPr>
          <w:p w:rsidR="0094634A" w:rsidRDefault="0094634A">
            <w:pPr>
              <w:pStyle w:val="TableTextSmall"/>
              <w:jc w:val="right"/>
            </w:pPr>
            <w:r w:rsidRPr="00110225">
              <w:t xml:space="preserve"> 638,687 </w:t>
            </w:r>
          </w:p>
        </w:tc>
        <w:tc>
          <w:tcPr>
            <w:tcW w:w="1254" w:type="dxa"/>
            <w:vAlign w:val="center"/>
          </w:tcPr>
          <w:p w:rsidR="0094634A" w:rsidRDefault="0094634A">
            <w:pPr>
              <w:pStyle w:val="TableTextSmall"/>
              <w:jc w:val="right"/>
            </w:pPr>
            <w:r w:rsidRPr="00110225">
              <w:t xml:space="preserve"> 277,857 </w:t>
            </w:r>
          </w:p>
        </w:tc>
        <w:tc>
          <w:tcPr>
            <w:tcW w:w="1472" w:type="dxa"/>
            <w:vAlign w:val="center"/>
          </w:tcPr>
          <w:p w:rsidR="0094634A" w:rsidRDefault="0094634A">
            <w:pPr>
              <w:pStyle w:val="TableTextSmall"/>
              <w:jc w:val="right"/>
            </w:pPr>
            <w:r w:rsidRPr="00110225">
              <w:t xml:space="preserve"> 360,830 </w:t>
            </w:r>
          </w:p>
        </w:tc>
        <w:tc>
          <w:tcPr>
            <w:tcW w:w="0" w:type="auto"/>
            <w:vAlign w:val="center"/>
          </w:tcPr>
          <w:p w:rsidR="0094634A" w:rsidRDefault="0094634A">
            <w:pPr>
              <w:pStyle w:val="TableTextSmall"/>
              <w:jc w:val="right"/>
            </w:pPr>
            <w:r w:rsidRPr="00110225">
              <w:t xml:space="preserve"> 1,095,401 </w:t>
            </w:r>
          </w:p>
        </w:tc>
        <w:tc>
          <w:tcPr>
            <w:tcW w:w="1257" w:type="dxa"/>
            <w:vAlign w:val="center"/>
          </w:tcPr>
          <w:p w:rsidR="0094634A" w:rsidRDefault="0094634A">
            <w:pPr>
              <w:pStyle w:val="TableTextSmall"/>
              <w:jc w:val="right"/>
            </w:pPr>
            <w:r w:rsidRPr="00110225">
              <w:t xml:space="preserve"> 668,260 </w:t>
            </w:r>
          </w:p>
        </w:tc>
        <w:tc>
          <w:tcPr>
            <w:tcW w:w="1468" w:type="dxa"/>
            <w:vAlign w:val="center"/>
          </w:tcPr>
          <w:p w:rsidR="0094634A" w:rsidRDefault="0094634A">
            <w:pPr>
              <w:pStyle w:val="TableTextSmall"/>
              <w:jc w:val="right"/>
            </w:pPr>
            <w:r w:rsidRPr="00110225">
              <w:t xml:space="preserve"> 427,141 </w:t>
            </w:r>
          </w:p>
        </w:tc>
      </w:tr>
      <w:tr w:rsidR="0094634A" w:rsidTr="006916CE">
        <w:tc>
          <w:tcPr>
            <w:tcW w:w="0" w:type="auto"/>
            <w:vAlign w:val="center"/>
          </w:tcPr>
          <w:p w:rsidR="0094634A" w:rsidRDefault="0094634A" w:rsidP="00A23387">
            <w:pPr>
              <w:pStyle w:val="TableTextSmall"/>
            </w:pPr>
            <w:r w:rsidRPr="00110225">
              <w:t>Inner South East</w:t>
            </w:r>
          </w:p>
        </w:tc>
        <w:tc>
          <w:tcPr>
            <w:tcW w:w="0" w:type="auto"/>
            <w:vAlign w:val="center"/>
          </w:tcPr>
          <w:p w:rsidR="0094634A" w:rsidRDefault="0094634A" w:rsidP="00A23387">
            <w:pPr>
              <w:pStyle w:val="TableTextSmall"/>
            </w:pPr>
            <w:r w:rsidRPr="00110225">
              <w:t>Frankston (C),Kingston (C),Mornington Peninsula (S)</w:t>
            </w:r>
          </w:p>
        </w:tc>
        <w:tc>
          <w:tcPr>
            <w:tcW w:w="0" w:type="auto"/>
            <w:vAlign w:val="center"/>
          </w:tcPr>
          <w:p w:rsidR="0094634A" w:rsidRDefault="0094634A" w:rsidP="007023B5">
            <w:pPr>
              <w:pStyle w:val="TableTextSmall"/>
              <w:jc w:val="right"/>
            </w:pPr>
            <w:r w:rsidRPr="00110225">
              <w:t xml:space="preserve"> 1,210,939 </w:t>
            </w:r>
          </w:p>
        </w:tc>
        <w:tc>
          <w:tcPr>
            <w:tcW w:w="0" w:type="auto"/>
            <w:vAlign w:val="center"/>
          </w:tcPr>
          <w:p w:rsidR="0094634A" w:rsidRDefault="0094634A">
            <w:pPr>
              <w:pStyle w:val="TableTextSmall"/>
              <w:jc w:val="right"/>
            </w:pPr>
            <w:r w:rsidRPr="00110225">
              <w:t xml:space="preserve"> 799,533 </w:t>
            </w:r>
          </w:p>
        </w:tc>
        <w:tc>
          <w:tcPr>
            <w:tcW w:w="1254" w:type="dxa"/>
            <w:vAlign w:val="center"/>
          </w:tcPr>
          <w:p w:rsidR="0094634A" w:rsidRDefault="0094634A">
            <w:pPr>
              <w:pStyle w:val="TableTextSmall"/>
              <w:jc w:val="right"/>
            </w:pPr>
            <w:r w:rsidRPr="00110225">
              <w:t xml:space="preserve"> 146,946 </w:t>
            </w:r>
          </w:p>
        </w:tc>
        <w:tc>
          <w:tcPr>
            <w:tcW w:w="1472" w:type="dxa"/>
            <w:vAlign w:val="center"/>
          </w:tcPr>
          <w:p w:rsidR="0094634A" w:rsidRDefault="0094634A">
            <w:pPr>
              <w:pStyle w:val="TableTextSmall"/>
              <w:jc w:val="right"/>
            </w:pPr>
            <w:r w:rsidRPr="00110225">
              <w:t xml:space="preserve"> 652,587 </w:t>
            </w:r>
          </w:p>
        </w:tc>
        <w:tc>
          <w:tcPr>
            <w:tcW w:w="0" w:type="auto"/>
            <w:vAlign w:val="center"/>
          </w:tcPr>
          <w:p w:rsidR="0094634A" w:rsidRDefault="0094634A">
            <w:pPr>
              <w:pStyle w:val="TableTextSmall"/>
              <w:jc w:val="right"/>
            </w:pPr>
            <w:r w:rsidRPr="00110225">
              <w:t xml:space="preserve"> 1,242,775 </w:t>
            </w:r>
          </w:p>
        </w:tc>
        <w:tc>
          <w:tcPr>
            <w:tcW w:w="1257" w:type="dxa"/>
            <w:vAlign w:val="center"/>
          </w:tcPr>
          <w:p w:rsidR="0094634A" w:rsidRDefault="0094634A">
            <w:pPr>
              <w:pStyle w:val="TableTextSmall"/>
              <w:jc w:val="right"/>
            </w:pPr>
            <w:r w:rsidRPr="00110225">
              <w:t xml:space="preserve"> 466,938 </w:t>
            </w:r>
          </w:p>
        </w:tc>
        <w:tc>
          <w:tcPr>
            <w:tcW w:w="1468" w:type="dxa"/>
            <w:vAlign w:val="center"/>
          </w:tcPr>
          <w:p w:rsidR="0094634A" w:rsidRDefault="0094634A">
            <w:pPr>
              <w:pStyle w:val="TableTextSmall"/>
              <w:jc w:val="right"/>
            </w:pPr>
            <w:r w:rsidRPr="00110225">
              <w:t xml:space="preserve"> 775,837 </w:t>
            </w:r>
          </w:p>
        </w:tc>
      </w:tr>
      <w:tr w:rsidR="0094634A" w:rsidTr="006916CE">
        <w:tc>
          <w:tcPr>
            <w:tcW w:w="0" w:type="auto"/>
            <w:vAlign w:val="center"/>
          </w:tcPr>
          <w:p w:rsidR="0094634A" w:rsidRDefault="0094634A" w:rsidP="00A23387">
            <w:pPr>
              <w:pStyle w:val="TableTextSmall"/>
            </w:pPr>
            <w:r w:rsidRPr="00110225">
              <w:t>Outer North</w:t>
            </w:r>
          </w:p>
        </w:tc>
        <w:tc>
          <w:tcPr>
            <w:tcW w:w="0" w:type="auto"/>
            <w:vAlign w:val="center"/>
          </w:tcPr>
          <w:p w:rsidR="0094634A" w:rsidRDefault="0094634A" w:rsidP="00A23387">
            <w:pPr>
              <w:pStyle w:val="TableTextSmall"/>
            </w:pPr>
            <w:r w:rsidRPr="00110225">
              <w:t>Campaspe (S),Greater Shepparton (C)</w:t>
            </w:r>
          </w:p>
        </w:tc>
        <w:tc>
          <w:tcPr>
            <w:tcW w:w="0" w:type="auto"/>
            <w:vAlign w:val="center"/>
          </w:tcPr>
          <w:p w:rsidR="0094634A" w:rsidRDefault="0094634A" w:rsidP="007023B5">
            <w:pPr>
              <w:pStyle w:val="TableTextSmall"/>
              <w:jc w:val="right"/>
            </w:pPr>
            <w:r w:rsidRPr="00110225">
              <w:t xml:space="preserve"> 558,460 </w:t>
            </w:r>
          </w:p>
        </w:tc>
        <w:tc>
          <w:tcPr>
            <w:tcW w:w="0" w:type="auto"/>
            <w:vAlign w:val="center"/>
          </w:tcPr>
          <w:p w:rsidR="0094634A" w:rsidRDefault="0094634A">
            <w:pPr>
              <w:pStyle w:val="TableTextSmall"/>
              <w:jc w:val="right"/>
            </w:pPr>
            <w:r w:rsidRPr="00110225">
              <w:t xml:space="preserve"> 383,549 </w:t>
            </w:r>
          </w:p>
        </w:tc>
        <w:tc>
          <w:tcPr>
            <w:tcW w:w="1254" w:type="dxa"/>
            <w:vAlign w:val="center"/>
          </w:tcPr>
          <w:p w:rsidR="0094634A" w:rsidRDefault="0094634A">
            <w:pPr>
              <w:pStyle w:val="TableTextSmall"/>
              <w:jc w:val="right"/>
            </w:pPr>
            <w:r w:rsidRPr="00110225">
              <w:t xml:space="preserve"> 360,342 </w:t>
            </w:r>
          </w:p>
        </w:tc>
        <w:tc>
          <w:tcPr>
            <w:tcW w:w="1472" w:type="dxa"/>
            <w:vAlign w:val="center"/>
          </w:tcPr>
          <w:p w:rsidR="0094634A" w:rsidRDefault="0094634A">
            <w:pPr>
              <w:pStyle w:val="TableTextSmall"/>
              <w:jc w:val="right"/>
            </w:pPr>
            <w:r w:rsidRPr="00110225">
              <w:t xml:space="preserve"> 23,207 </w:t>
            </w:r>
          </w:p>
        </w:tc>
        <w:tc>
          <w:tcPr>
            <w:tcW w:w="0" w:type="auto"/>
            <w:vAlign w:val="center"/>
          </w:tcPr>
          <w:p w:rsidR="0094634A" w:rsidRDefault="0094634A">
            <w:pPr>
              <w:pStyle w:val="TableTextSmall"/>
              <w:jc w:val="right"/>
            </w:pPr>
            <w:r w:rsidRPr="00110225">
              <w:t xml:space="preserve"> 466,208 </w:t>
            </w:r>
          </w:p>
        </w:tc>
        <w:tc>
          <w:tcPr>
            <w:tcW w:w="1257" w:type="dxa"/>
            <w:vAlign w:val="center"/>
          </w:tcPr>
          <w:p w:rsidR="0094634A" w:rsidRDefault="0094634A">
            <w:pPr>
              <w:pStyle w:val="TableTextSmall"/>
              <w:jc w:val="right"/>
            </w:pPr>
            <w:r w:rsidRPr="00110225">
              <w:t xml:space="preserve"> 437,940 </w:t>
            </w:r>
          </w:p>
        </w:tc>
        <w:tc>
          <w:tcPr>
            <w:tcW w:w="1468" w:type="dxa"/>
            <w:vAlign w:val="center"/>
          </w:tcPr>
          <w:p w:rsidR="0094634A" w:rsidRDefault="0094634A">
            <w:pPr>
              <w:pStyle w:val="TableTextSmall"/>
              <w:jc w:val="right"/>
            </w:pPr>
            <w:r w:rsidRPr="00110225">
              <w:t xml:space="preserve"> 28,268 </w:t>
            </w:r>
          </w:p>
        </w:tc>
      </w:tr>
      <w:tr w:rsidR="0094634A" w:rsidTr="006916CE">
        <w:tc>
          <w:tcPr>
            <w:tcW w:w="0" w:type="auto"/>
            <w:vAlign w:val="center"/>
          </w:tcPr>
          <w:p w:rsidR="0094634A" w:rsidRDefault="0094634A" w:rsidP="00A23387">
            <w:pPr>
              <w:pStyle w:val="TableTextSmall"/>
            </w:pPr>
            <w:r w:rsidRPr="00110225">
              <w:t>Outer North East</w:t>
            </w:r>
          </w:p>
        </w:tc>
        <w:tc>
          <w:tcPr>
            <w:tcW w:w="0" w:type="auto"/>
            <w:vAlign w:val="center"/>
          </w:tcPr>
          <w:p w:rsidR="0094634A" w:rsidRDefault="0094634A" w:rsidP="00A23387">
            <w:pPr>
              <w:pStyle w:val="TableTextSmall"/>
            </w:pPr>
            <w:r w:rsidRPr="00110225">
              <w:t>Indigo (S),Towong (S),Wodonga (RC)</w:t>
            </w:r>
          </w:p>
        </w:tc>
        <w:tc>
          <w:tcPr>
            <w:tcW w:w="0" w:type="auto"/>
            <w:vAlign w:val="center"/>
          </w:tcPr>
          <w:p w:rsidR="0094634A" w:rsidRDefault="0094634A" w:rsidP="007023B5">
            <w:pPr>
              <w:pStyle w:val="TableTextSmall"/>
              <w:jc w:val="right"/>
            </w:pPr>
            <w:r w:rsidRPr="00110225">
              <w:t xml:space="preserve"> 460,337 </w:t>
            </w:r>
          </w:p>
        </w:tc>
        <w:tc>
          <w:tcPr>
            <w:tcW w:w="0" w:type="auto"/>
            <w:vAlign w:val="center"/>
          </w:tcPr>
          <w:p w:rsidR="0094634A" w:rsidRDefault="0094634A">
            <w:pPr>
              <w:pStyle w:val="TableTextSmall"/>
              <w:jc w:val="right"/>
            </w:pPr>
            <w:r w:rsidRPr="00110225">
              <w:t xml:space="preserve"> 368,547 </w:t>
            </w:r>
          </w:p>
        </w:tc>
        <w:tc>
          <w:tcPr>
            <w:tcW w:w="1254" w:type="dxa"/>
            <w:vAlign w:val="center"/>
          </w:tcPr>
          <w:p w:rsidR="0094634A" w:rsidRDefault="0094634A">
            <w:pPr>
              <w:pStyle w:val="TableTextSmall"/>
              <w:jc w:val="right"/>
            </w:pPr>
            <w:r w:rsidRPr="00110225">
              <w:t xml:space="preserve"> 368,547 </w:t>
            </w:r>
          </w:p>
        </w:tc>
        <w:tc>
          <w:tcPr>
            <w:tcW w:w="1472" w:type="dxa"/>
            <w:vAlign w:val="center"/>
          </w:tcPr>
          <w:p w:rsidR="0094634A" w:rsidRDefault="0094634A">
            <w:pPr>
              <w:pStyle w:val="TableTextSmall"/>
              <w:jc w:val="right"/>
            </w:pPr>
            <w:r w:rsidRPr="00110225">
              <w:t xml:space="preserve"> -   </w:t>
            </w:r>
          </w:p>
        </w:tc>
        <w:tc>
          <w:tcPr>
            <w:tcW w:w="0" w:type="auto"/>
            <w:vAlign w:val="center"/>
          </w:tcPr>
          <w:p w:rsidR="0094634A" w:rsidRDefault="0094634A">
            <w:pPr>
              <w:pStyle w:val="TableTextSmall"/>
              <w:jc w:val="right"/>
            </w:pPr>
            <w:r w:rsidRPr="00110225">
              <w:t xml:space="preserve"> 431,756 </w:t>
            </w:r>
          </w:p>
        </w:tc>
        <w:tc>
          <w:tcPr>
            <w:tcW w:w="1257" w:type="dxa"/>
            <w:vAlign w:val="center"/>
          </w:tcPr>
          <w:p w:rsidR="0094634A" w:rsidRDefault="0094634A">
            <w:pPr>
              <w:pStyle w:val="TableTextSmall"/>
              <w:jc w:val="right"/>
            </w:pPr>
            <w:r w:rsidRPr="00110225">
              <w:t xml:space="preserve"> 431,756 </w:t>
            </w:r>
          </w:p>
        </w:tc>
        <w:tc>
          <w:tcPr>
            <w:tcW w:w="1468" w:type="dxa"/>
            <w:vAlign w:val="center"/>
          </w:tcPr>
          <w:p w:rsidR="0094634A" w:rsidRDefault="0094634A">
            <w:pPr>
              <w:pStyle w:val="TableTextSmall"/>
              <w:jc w:val="right"/>
            </w:pPr>
            <w:r w:rsidRPr="00110225">
              <w:t xml:space="preserve"> -   </w:t>
            </w:r>
          </w:p>
        </w:tc>
      </w:tr>
    </w:tbl>
    <w:p w:rsidR="0094634A" w:rsidRDefault="0094634A" w:rsidP="006916CE">
      <w:pPr>
        <w:pStyle w:val="Sources"/>
      </w:pPr>
      <w:r>
        <w:t>Source: PwC analysis</w:t>
      </w:r>
    </w:p>
    <w:p w:rsidR="005D2934" w:rsidRDefault="005D2934">
      <w:pPr>
        <w:pStyle w:val="PwCNormal"/>
      </w:pPr>
    </w:p>
    <w:p w:rsidR="005D2934" w:rsidRDefault="005D2934">
      <w:pPr>
        <w:pStyle w:val="Caption"/>
      </w:pPr>
      <w:bookmarkStart w:id="214" w:name="_Ref448409989"/>
      <w:r>
        <w:t xml:space="preserve">Figure </w:t>
      </w:r>
      <w:fldSimple w:instr=" SEQ Figure \* ARABIC ">
        <w:r w:rsidR="00E22E13">
          <w:rPr>
            <w:noProof/>
          </w:rPr>
          <w:t>39</w:t>
        </w:r>
      </w:fldSimple>
      <w:bookmarkEnd w:id="214"/>
      <w:r>
        <w:t xml:space="preserve">: </w:t>
      </w:r>
      <w:r w:rsidR="00916022">
        <w:t>Criterion 3</w:t>
      </w:r>
      <w:r w:rsidRPr="00177876">
        <w:t xml:space="preserve"> – Supply locations with significant production levels: </w:t>
      </w:r>
      <w:r>
        <w:t>Sand and gravel</w:t>
      </w:r>
    </w:p>
    <w:p w:rsidR="0094634A" w:rsidRDefault="005D2934" w:rsidP="006916CE">
      <w:pPr>
        <w:pStyle w:val="Sources"/>
      </w:pPr>
      <w:r>
        <w:rPr>
          <w:noProof/>
          <w:snapToGrid/>
          <w:lang w:eastAsia="en-AU"/>
        </w:rPr>
        <w:drawing>
          <wp:inline distT="0" distB="0" distL="0" distR="0" wp14:anchorId="1E3E02C4" wp14:editId="4BFCCF3A">
            <wp:extent cx="6809172" cy="4914098"/>
            <wp:effectExtent l="0" t="0" r="0" b="1270"/>
            <wp:docPr id="309" name="Picture 309" descr="Figure 39 maps the supply locations with significant sand and gravel production levels (criteria 3). It shows that production is heaviest in the Baw Baw, Cardinia and South Gippsland. " title="Figur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809172" cy="4914098"/>
                    </a:xfrm>
                    <a:prstGeom prst="rect">
                      <a:avLst/>
                    </a:prstGeom>
                  </pic:spPr>
                </pic:pic>
              </a:graphicData>
            </a:graphic>
          </wp:inline>
        </w:drawing>
      </w:r>
      <w:r>
        <w:t>Source: PwC analysis</w:t>
      </w:r>
    </w:p>
    <w:p w:rsidR="0094634A" w:rsidRDefault="00201183" w:rsidP="006916CE">
      <w:pPr>
        <w:pStyle w:val="Heading7"/>
      </w:pPr>
      <w:r>
        <w:t>Limestone</w:t>
      </w:r>
    </w:p>
    <w:p w:rsidR="0094634A" w:rsidRDefault="00201183" w:rsidP="006916CE">
      <w:pPr>
        <w:pStyle w:val="PwCNormal"/>
      </w:pPr>
      <w:r>
        <w:t xml:space="preserve">Limestone is extracted in relatively few locations in Victoria. </w:t>
      </w:r>
      <w:r>
        <w:fldChar w:fldCharType="begin"/>
      </w:r>
      <w:r>
        <w:instrText xml:space="preserve"> REF _Ref448144500 \h </w:instrText>
      </w:r>
      <w:r>
        <w:fldChar w:fldCharType="separate"/>
      </w:r>
      <w:r w:rsidR="00E22E13">
        <w:t xml:space="preserve">Table </w:t>
      </w:r>
      <w:r w:rsidR="00E22E13">
        <w:rPr>
          <w:noProof/>
        </w:rPr>
        <w:t>16</w:t>
      </w:r>
      <w:r>
        <w:fldChar w:fldCharType="end"/>
      </w:r>
      <w:r>
        <w:t xml:space="preserve"> lists these locations along with their levels of allocated demand, </w:t>
      </w:r>
      <w:r w:rsidR="008452D8">
        <w:t>supply and production shortfall for various years of interest.</w:t>
      </w:r>
    </w:p>
    <w:p w:rsidR="008452D8" w:rsidRDefault="008452D8" w:rsidP="006916CE">
      <w:pPr>
        <w:pStyle w:val="PwCNormal"/>
      </w:pPr>
      <w:r>
        <w:t xml:space="preserve">The Peri-urban region, comprising Greater Geelong and Yarra Ranges, is expected to produce by far the largest proportion of State supply of limestone. Lower levels of limestone production are anticipated in the corners of Victoria in locations including East Gippsland, Warrnambool and Mildura, with some production occurring in Central Victoria. </w:t>
      </w:r>
      <w:r>
        <w:fldChar w:fldCharType="begin"/>
      </w:r>
      <w:r>
        <w:instrText xml:space="preserve"> REF _Ref448144870 \h </w:instrText>
      </w:r>
      <w:r>
        <w:fldChar w:fldCharType="separate"/>
      </w:r>
      <w:r w:rsidR="00E22E13">
        <w:t xml:space="preserve">Figure </w:t>
      </w:r>
      <w:r w:rsidR="00E22E13">
        <w:rPr>
          <w:noProof/>
        </w:rPr>
        <w:t>40</w:t>
      </w:r>
      <w:r>
        <w:fldChar w:fldCharType="end"/>
      </w:r>
      <w:r>
        <w:t xml:space="preserve"> maps these locations along with their cumulative production levels from 2015</w:t>
      </w:r>
      <w:r w:rsidR="007303D4">
        <w:t xml:space="preserve"> to 20</w:t>
      </w:r>
      <w:r>
        <w:t xml:space="preserve">50. </w:t>
      </w:r>
    </w:p>
    <w:p w:rsidR="0094634A" w:rsidRDefault="0094634A" w:rsidP="006916CE">
      <w:pPr>
        <w:pStyle w:val="Caption"/>
      </w:pPr>
      <w:bookmarkStart w:id="215" w:name="_Ref448144500"/>
      <w:r>
        <w:t xml:space="preserve">Table </w:t>
      </w:r>
      <w:fldSimple w:instr=" SEQ Table \* ARABIC ">
        <w:r w:rsidR="00E22E13">
          <w:rPr>
            <w:noProof/>
          </w:rPr>
          <w:t>16</w:t>
        </w:r>
      </w:fldSimple>
      <w:bookmarkEnd w:id="215"/>
      <w:r>
        <w:t xml:space="preserve">: </w:t>
      </w:r>
      <w:r w:rsidR="00916022">
        <w:t>Criterion 3</w:t>
      </w:r>
      <w:r w:rsidRPr="003D7B21">
        <w:t xml:space="preserve"> – Supply locations with significant production levels: </w:t>
      </w:r>
      <w:r>
        <w:t>Limestone</w:t>
      </w:r>
    </w:p>
    <w:tbl>
      <w:tblPr>
        <w:tblStyle w:val="Tables-APBase"/>
        <w:tblW w:w="0" w:type="auto"/>
        <w:tblLook w:val="04A0" w:firstRow="1" w:lastRow="0" w:firstColumn="1" w:lastColumn="0" w:noHBand="0" w:noVBand="1"/>
        <w:tblCaption w:val="Table 16 "/>
        <w:tblDescription w:val="Table 16 applies criterion 3 and lists supply locations with significant limestone production levels. In descending order, they are Peri-urban (comprising Greater Geelong and Yarra Ranges, Outer South West (comprising Corangamite, Glenelg, Moyne and Warnambool), Outer North East (comprising East Gippsland, Strathbogie and Wellington), and Outer North West (comprising Hindmarsh, Horsham, Mildura, Swan Hill and Yarriambiack)."/>
      </w:tblPr>
      <w:tblGrid>
        <w:gridCol w:w="1092"/>
        <w:gridCol w:w="3392"/>
        <w:gridCol w:w="1440"/>
        <w:gridCol w:w="1440"/>
        <w:gridCol w:w="1050"/>
        <w:gridCol w:w="1573"/>
        <w:gridCol w:w="1440"/>
        <w:gridCol w:w="1050"/>
        <w:gridCol w:w="1573"/>
      </w:tblGrid>
      <w:tr w:rsidR="0094634A" w:rsidTr="0094634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94634A" w:rsidRDefault="0094634A" w:rsidP="0094634A">
            <w:pPr>
              <w:pStyle w:val="TableColumnHeadingSmall"/>
            </w:pPr>
            <w:bookmarkStart w:id="216" w:name="OLE_LINK1"/>
            <w:r w:rsidRPr="00226881">
              <w:t>Region name</w:t>
            </w:r>
          </w:p>
        </w:tc>
        <w:tc>
          <w:tcPr>
            <w:tcW w:w="0" w:type="auto"/>
          </w:tcPr>
          <w:p w:rsidR="0094634A" w:rsidRDefault="0094634A" w:rsidP="0094634A">
            <w:pPr>
              <w:pStyle w:val="TableColumnHeadingSmall"/>
              <w:cnfStyle w:val="100000000000" w:firstRow="1" w:lastRow="0" w:firstColumn="0" w:lastColumn="0" w:oddVBand="0" w:evenVBand="0" w:oddHBand="0" w:evenHBand="0" w:firstRowFirstColumn="0" w:firstRowLastColumn="0" w:lastRowFirstColumn="0" w:lastRowLastColumn="0"/>
            </w:pPr>
            <w:r w:rsidRPr="00226881">
              <w:t>LGAs in region</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2015</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2025</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2025</w:t>
            </w:r>
          </w:p>
        </w:tc>
        <w:tc>
          <w:tcPr>
            <w:tcW w:w="0" w:type="auto"/>
          </w:tcPr>
          <w:p w:rsidR="0094634A" w:rsidRDefault="00201183"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94634A" w:rsidRPr="00226881">
              <w:t>, 2025</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Allocated demand, 2050</w:t>
            </w:r>
          </w:p>
        </w:tc>
        <w:tc>
          <w:tcPr>
            <w:tcW w:w="0" w:type="auto"/>
          </w:tcPr>
          <w:p w:rsidR="0094634A" w:rsidRDefault="0094634A"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226881">
              <w:t>Supply, 2050</w:t>
            </w:r>
          </w:p>
        </w:tc>
        <w:tc>
          <w:tcPr>
            <w:tcW w:w="0" w:type="auto"/>
          </w:tcPr>
          <w:p w:rsidR="0094634A" w:rsidRDefault="00201183" w:rsidP="0094634A">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94634A" w:rsidRPr="00226881">
              <w:t>, 2050</w:t>
            </w:r>
          </w:p>
        </w:tc>
      </w:tr>
      <w:tr w:rsidR="0094634A" w:rsidTr="006916CE">
        <w:tc>
          <w:tcPr>
            <w:tcW w:w="0" w:type="auto"/>
            <w:vAlign w:val="center"/>
          </w:tcPr>
          <w:p w:rsidR="0094634A" w:rsidRDefault="0094634A" w:rsidP="00A23387">
            <w:pPr>
              <w:pStyle w:val="TableTextSmall"/>
            </w:pPr>
            <w:r w:rsidRPr="004C5B74">
              <w:t>Peri-urban</w:t>
            </w:r>
          </w:p>
        </w:tc>
        <w:tc>
          <w:tcPr>
            <w:tcW w:w="0" w:type="auto"/>
            <w:vAlign w:val="center"/>
          </w:tcPr>
          <w:p w:rsidR="0094634A" w:rsidRDefault="0094634A" w:rsidP="00A23387">
            <w:pPr>
              <w:pStyle w:val="TableTextSmall"/>
            </w:pPr>
            <w:r w:rsidRPr="004C5B74">
              <w:t>Greater Geelong (C),Yarra Ranges (S)</w:t>
            </w:r>
          </w:p>
        </w:tc>
        <w:tc>
          <w:tcPr>
            <w:tcW w:w="0" w:type="auto"/>
            <w:vAlign w:val="center"/>
          </w:tcPr>
          <w:p w:rsidR="0094634A" w:rsidRDefault="0094634A" w:rsidP="007023B5">
            <w:pPr>
              <w:pStyle w:val="TableTextSmall"/>
              <w:jc w:val="right"/>
            </w:pPr>
            <w:r w:rsidRPr="004C5B74">
              <w:t xml:space="preserve"> 1,198,855 </w:t>
            </w:r>
          </w:p>
        </w:tc>
        <w:tc>
          <w:tcPr>
            <w:tcW w:w="0" w:type="auto"/>
            <w:vAlign w:val="center"/>
          </w:tcPr>
          <w:p w:rsidR="0094634A" w:rsidRDefault="0094634A">
            <w:pPr>
              <w:pStyle w:val="TableTextSmall"/>
              <w:jc w:val="right"/>
            </w:pPr>
            <w:r w:rsidRPr="004C5B74">
              <w:t xml:space="preserve"> 1,516,082 </w:t>
            </w:r>
          </w:p>
        </w:tc>
        <w:tc>
          <w:tcPr>
            <w:tcW w:w="0" w:type="auto"/>
            <w:vAlign w:val="center"/>
          </w:tcPr>
          <w:p w:rsidR="0094634A" w:rsidRDefault="0094634A">
            <w:pPr>
              <w:pStyle w:val="TableTextSmall"/>
              <w:jc w:val="right"/>
            </w:pPr>
            <w:r w:rsidRPr="004C5B74">
              <w:t xml:space="preserve"> 1,516,082 </w:t>
            </w:r>
          </w:p>
        </w:tc>
        <w:tc>
          <w:tcPr>
            <w:tcW w:w="0" w:type="auto"/>
            <w:vAlign w:val="center"/>
          </w:tcPr>
          <w:p w:rsidR="0094634A" w:rsidRDefault="0094634A">
            <w:pPr>
              <w:pStyle w:val="TableTextSmall"/>
              <w:jc w:val="right"/>
            </w:pPr>
            <w:r w:rsidRPr="004C5B74">
              <w:t xml:space="preserve"> -   </w:t>
            </w:r>
          </w:p>
        </w:tc>
        <w:tc>
          <w:tcPr>
            <w:tcW w:w="0" w:type="auto"/>
            <w:vAlign w:val="center"/>
          </w:tcPr>
          <w:p w:rsidR="0094634A" w:rsidRDefault="0094634A">
            <w:pPr>
              <w:pStyle w:val="TableTextSmall"/>
              <w:jc w:val="right"/>
            </w:pPr>
            <w:r w:rsidRPr="004C5B74">
              <w:t xml:space="preserve"> 2,969,244 </w:t>
            </w:r>
          </w:p>
        </w:tc>
        <w:tc>
          <w:tcPr>
            <w:tcW w:w="0" w:type="auto"/>
            <w:vAlign w:val="center"/>
          </w:tcPr>
          <w:p w:rsidR="0094634A" w:rsidRDefault="0094634A">
            <w:pPr>
              <w:pStyle w:val="TableTextSmall"/>
              <w:jc w:val="right"/>
            </w:pPr>
            <w:r w:rsidRPr="004C5B74">
              <w:t xml:space="preserve"> 1,281,246 </w:t>
            </w:r>
          </w:p>
        </w:tc>
        <w:tc>
          <w:tcPr>
            <w:tcW w:w="0" w:type="auto"/>
            <w:vAlign w:val="center"/>
          </w:tcPr>
          <w:p w:rsidR="0094634A" w:rsidRDefault="0094634A">
            <w:pPr>
              <w:pStyle w:val="TableTextSmall"/>
              <w:jc w:val="right"/>
            </w:pPr>
            <w:r w:rsidRPr="004C5B74">
              <w:t xml:space="preserve"> 1,687,997 </w:t>
            </w:r>
          </w:p>
        </w:tc>
      </w:tr>
      <w:tr w:rsidR="0094634A" w:rsidTr="006916CE">
        <w:tc>
          <w:tcPr>
            <w:tcW w:w="0" w:type="auto"/>
            <w:vAlign w:val="center"/>
          </w:tcPr>
          <w:p w:rsidR="0094634A" w:rsidRDefault="0094634A" w:rsidP="00A23387">
            <w:pPr>
              <w:pStyle w:val="TableTextSmall"/>
            </w:pPr>
            <w:r w:rsidRPr="004C5B74">
              <w:t>Outer South West</w:t>
            </w:r>
          </w:p>
        </w:tc>
        <w:tc>
          <w:tcPr>
            <w:tcW w:w="0" w:type="auto"/>
            <w:vAlign w:val="center"/>
          </w:tcPr>
          <w:p w:rsidR="0094634A" w:rsidRDefault="0094634A" w:rsidP="00A23387">
            <w:pPr>
              <w:pStyle w:val="TableTextSmall"/>
            </w:pPr>
            <w:r w:rsidRPr="004C5B74">
              <w:t>Corangamite (S),Glenelg (S),Moyne (S),Warrnambool (C)</w:t>
            </w:r>
          </w:p>
        </w:tc>
        <w:tc>
          <w:tcPr>
            <w:tcW w:w="0" w:type="auto"/>
            <w:vAlign w:val="center"/>
          </w:tcPr>
          <w:p w:rsidR="0094634A" w:rsidRDefault="0094634A" w:rsidP="007023B5">
            <w:pPr>
              <w:pStyle w:val="TableTextSmall"/>
              <w:jc w:val="right"/>
            </w:pPr>
            <w:r w:rsidRPr="004C5B74">
              <w:t xml:space="preserve"> 519,453 </w:t>
            </w:r>
          </w:p>
        </w:tc>
        <w:tc>
          <w:tcPr>
            <w:tcW w:w="0" w:type="auto"/>
            <w:vAlign w:val="center"/>
          </w:tcPr>
          <w:p w:rsidR="0094634A" w:rsidRDefault="0094634A">
            <w:pPr>
              <w:pStyle w:val="TableTextSmall"/>
              <w:jc w:val="right"/>
            </w:pPr>
            <w:r w:rsidRPr="004C5B74">
              <w:t xml:space="preserve"> 723,636 </w:t>
            </w:r>
          </w:p>
        </w:tc>
        <w:tc>
          <w:tcPr>
            <w:tcW w:w="0" w:type="auto"/>
            <w:vAlign w:val="center"/>
          </w:tcPr>
          <w:p w:rsidR="0094634A" w:rsidRDefault="0094634A">
            <w:pPr>
              <w:pStyle w:val="TableTextSmall"/>
              <w:jc w:val="right"/>
            </w:pPr>
            <w:r w:rsidRPr="004C5B74">
              <w:t xml:space="preserve"> 631,162 </w:t>
            </w:r>
          </w:p>
        </w:tc>
        <w:tc>
          <w:tcPr>
            <w:tcW w:w="0" w:type="auto"/>
            <w:vAlign w:val="center"/>
          </w:tcPr>
          <w:p w:rsidR="0094634A" w:rsidRDefault="0094634A">
            <w:pPr>
              <w:pStyle w:val="TableTextSmall"/>
              <w:jc w:val="right"/>
            </w:pPr>
            <w:r w:rsidRPr="004C5B74">
              <w:t xml:space="preserve"> 92,473 </w:t>
            </w:r>
          </w:p>
        </w:tc>
        <w:tc>
          <w:tcPr>
            <w:tcW w:w="0" w:type="auto"/>
            <w:vAlign w:val="center"/>
          </w:tcPr>
          <w:p w:rsidR="0094634A" w:rsidRDefault="0094634A">
            <w:pPr>
              <w:pStyle w:val="TableTextSmall"/>
              <w:jc w:val="right"/>
            </w:pPr>
            <w:r w:rsidRPr="004C5B74">
              <w:t xml:space="preserve"> 1,412,855 </w:t>
            </w:r>
          </w:p>
        </w:tc>
        <w:tc>
          <w:tcPr>
            <w:tcW w:w="0" w:type="auto"/>
            <w:vAlign w:val="center"/>
          </w:tcPr>
          <w:p w:rsidR="0094634A" w:rsidRDefault="0094634A">
            <w:pPr>
              <w:pStyle w:val="TableTextSmall"/>
              <w:jc w:val="right"/>
            </w:pPr>
            <w:r w:rsidRPr="004C5B74">
              <w:t xml:space="preserve"> 290,781 </w:t>
            </w:r>
          </w:p>
        </w:tc>
        <w:tc>
          <w:tcPr>
            <w:tcW w:w="0" w:type="auto"/>
            <w:vAlign w:val="center"/>
          </w:tcPr>
          <w:p w:rsidR="0094634A" w:rsidRDefault="0094634A">
            <w:pPr>
              <w:pStyle w:val="TableTextSmall"/>
              <w:jc w:val="right"/>
            </w:pPr>
            <w:r w:rsidRPr="004C5B74">
              <w:t xml:space="preserve"> 1,122,074 </w:t>
            </w:r>
          </w:p>
        </w:tc>
      </w:tr>
      <w:tr w:rsidR="0094634A" w:rsidTr="006916CE">
        <w:tc>
          <w:tcPr>
            <w:tcW w:w="0" w:type="auto"/>
            <w:vAlign w:val="center"/>
          </w:tcPr>
          <w:p w:rsidR="0094634A" w:rsidRDefault="0094634A" w:rsidP="00A23387">
            <w:pPr>
              <w:pStyle w:val="TableTextSmall"/>
            </w:pPr>
            <w:r w:rsidRPr="004C5B74">
              <w:t>Outer North East</w:t>
            </w:r>
          </w:p>
        </w:tc>
        <w:tc>
          <w:tcPr>
            <w:tcW w:w="0" w:type="auto"/>
            <w:vAlign w:val="center"/>
          </w:tcPr>
          <w:p w:rsidR="0094634A" w:rsidRDefault="0094634A" w:rsidP="00A23387">
            <w:pPr>
              <w:pStyle w:val="TableTextSmall"/>
            </w:pPr>
            <w:r w:rsidRPr="004C5B74">
              <w:t>East Gippsland (S),Strathbogie (S),Wellington (S)</w:t>
            </w:r>
          </w:p>
        </w:tc>
        <w:tc>
          <w:tcPr>
            <w:tcW w:w="0" w:type="auto"/>
            <w:vAlign w:val="center"/>
          </w:tcPr>
          <w:p w:rsidR="0094634A" w:rsidRDefault="0094634A" w:rsidP="007023B5">
            <w:pPr>
              <w:pStyle w:val="TableTextSmall"/>
              <w:jc w:val="right"/>
            </w:pPr>
            <w:r w:rsidRPr="004C5B74">
              <w:t xml:space="preserve"> 286,544 </w:t>
            </w:r>
          </w:p>
        </w:tc>
        <w:tc>
          <w:tcPr>
            <w:tcW w:w="0" w:type="auto"/>
            <w:vAlign w:val="center"/>
          </w:tcPr>
          <w:p w:rsidR="0094634A" w:rsidRDefault="0094634A">
            <w:pPr>
              <w:pStyle w:val="TableTextSmall"/>
              <w:jc w:val="right"/>
            </w:pPr>
            <w:r w:rsidRPr="004C5B74">
              <w:t xml:space="preserve"> 369,031 </w:t>
            </w:r>
          </w:p>
        </w:tc>
        <w:tc>
          <w:tcPr>
            <w:tcW w:w="0" w:type="auto"/>
            <w:vAlign w:val="center"/>
          </w:tcPr>
          <w:p w:rsidR="0094634A" w:rsidRDefault="0094634A">
            <w:pPr>
              <w:pStyle w:val="TableTextSmall"/>
              <w:jc w:val="right"/>
            </w:pPr>
            <w:r w:rsidRPr="004C5B74">
              <w:t xml:space="preserve"> 369,031 </w:t>
            </w:r>
          </w:p>
        </w:tc>
        <w:tc>
          <w:tcPr>
            <w:tcW w:w="0" w:type="auto"/>
            <w:vAlign w:val="center"/>
          </w:tcPr>
          <w:p w:rsidR="0094634A" w:rsidRDefault="0094634A">
            <w:pPr>
              <w:pStyle w:val="TableTextSmall"/>
              <w:jc w:val="right"/>
            </w:pPr>
            <w:r w:rsidRPr="004C5B74">
              <w:t xml:space="preserve"> -   </w:t>
            </w:r>
          </w:p>
        </w:tc>
        <w:tc>
          <w:tcPr>
            <w:tcW w:w="0" w:type="auto"/>
            <w:vAlign w:val="center"/>
          </w:tcPr>
          <w:p w:rsidR="0094634A" w:rsidRDefault="0094634A">
            <w:pPr>
              <w:pStyle w:val="TableTextSmall"/>
              <w:jc w:val="right"/>
            </w:pPr>
            <w:r w:rsidRPr="004C5B74">
              <w:t xml:space="preserve"> 724,349 </w:t>
            </w:r>
          </w:p>
        </w:tc>
        <w:tc>
          <w:tcPr>
            <w:tcW w:w="0" w:type="auto"/>
            <w:vAlign w:val="center"/>
          </w:tcPr>
          <w:p w:rsidR="0094634A" w:rsidRDefault="0094634A">
            <w:pPr>
              <w:pStyle w:val="TableTextSmall"/>
              <w:jc w:val="right"/>
            </w:pPr>
            <w:r w:rsidRPr="004C5B74">
              <w:t xml:space="preserve"> 222,700 </w:t>
            </w:r>
          </w:p>
        </w:tc>
        <w:tc>
          <w:tcPr>
            <w:tcW w:w="0" w:type="auto"/>
            <w:vAlign w:val="center"/>
          </w:tcPr>
          <w:p w:rsidR="0094634A" w:rsidRDefault="0094634A">
            <w:pPr>
              <w:pStyle w:val="TableTextSmall"/>
              <w:jc w:val="right"/>
            </w:pPr>
            <w:r w:rsidRPr="004C5B74">
              <w:t xml:space="preserve"> 501,649 </w:t>
            </w:r>
          </w:p>
        </w:tc>
      </w:tr>
      <w:tr w:rsidR="0094634A" w:rsidTr="006916CE">
        <w:tc>
          <w:tcPr>
            <w:tcW w:w="0" w:type="auto"/>
            <w:vAlign w:val="center"/>
          </w:tcPr>
          <w:p w:rsidR="0094634A" w:rsidRDefault="0094634A" w:rsidP="00A23387">
            <w:pPr>
              <w:pStyle w:val="TableTextSmall"/>
            </w:pPr>
            <w:r w:rsidRPr="004C5B74">
              <w:t>Outer North West</w:t>
            </w:r>
          </w:p>
        </w:tc>
        <w:tc>
          <w:tcPr>
            <w:tcW w:w="0" w:type="auto"/>
            <w:vAlign w:val="center"/>
          </w:tcPr>
          <w:p w:rsidR="0094634A" w:rsidRDefault="0094634A" w:rsidP="00A23387">
            <w:pPr>
              <w:pStyle w:val="TableTextSmall"/>
            </w:pPr>
            <w:r w:rsidRPr="004C5B74">
              <w:t>Hindmarsh (S),Horsham (RC),Mildura (RC),Swan Hill (RC),Yarriambiack (S)</w:t>
            </w:r>
          </w:p>
        </w:tc>
        <w:tc>
          <w:tcPr>
            <w:tcW w:w="0" w:type="auto"/>
            <w:vAlign w:val="center"/>
          </w:tcPr>
          <w:p w:rsidR="0094634A" w:rsidRDefault="0094634A" w:rsidP="007023B5">
            <w:pPr>
              <w:pStyle w:val="TableTextSmall"/>
              <w:jc w:val="right"/>
            </w:pPr>
            <w:r w:rsidRPr="004C5B74">
              <w:t xml:space="preserve"> 105,453 </w:t>
            </w:r>
          </w:p>
        </w:tc>
        <w:tc>
          <w:tcPr>
            <w:tcW w:w="0" w:type="auto"/>
            <w:vAlign w:val="center"/>
          </w:tcPr>
          <w:p w:rsidR="0094634A" w:rsidRDefault="0094634A">
            <w:pPr>
              <w:pStyle w:val="TableTextSmall"/>
              <w:jc w:val="right"/>
            </w:pPr>
            <w:r w:rsidRPr="004C5B74">
              <w:t xml:space="preserve"> 152,500 </w:t>
            </w:r>
          </w:p>
        </w:tc>
        <w:tc>
          <w:tcPr>
            <w:tcW w:w="0" w:type="auto"/>
            <w:vAlign w:val="center"/>
          </w:tcPr>
          <w:p w:rsidR="0094634A" w:rsidRDefault="0094634A">
            <w:pPr>
              <w:pStyle w:val="TableTextSmall"/>
              <w:jc w:val="right"/>
            </w:pPr>
            <w:r w:rsidRPr="004C5B74">
              <w:t xml:space="preserve"> 138,550 </w:t>
            </w:r>
          </w:p>
        </w:tc>
        <w:tc>
          <w:tcPr>
            <w:tcW w:w="0" w:type="auto"/>
            <w:vAlign w:val="center"/>
          </w:tcPr>
          <w:p w:rsidR="0094634A" w:rsidRDefault="0094634A">
            <w:pPr>
              <w:pStyle w:val="TableTextSmall"/>
              <w:jc w:val="right"/>
            </w:pPr>
            <w:r w:rsidRPr="004C5B74">
              <w:t xml:space="preserve"> 13,949 </w:t>
            </w:r>
          </w:p>
        </w:tc>
        <w:tc>
          <w:tcPr>
            <w:tcW w:w="0" w:type="auto"/>
            <w:vAlign w:val="center"/>
          </w:tcPr>
          <w:p w:rsidR="0094634A" w:rsidRDefault="0094634A">
            <w:pPr>
              <w:pStyle w:val="TableTextSmall"/>
              <w:jc w:val="right"/>
            </w:pPr>
            <w:r w:rsidRPr="004C5B74">
              <w:t xml:space="preserve"> 334,207 </w:t>
            </w:r>
          </w:p>
        </w:tc>
        <w:tc>
          <w:tcPr>
            <w:tcW w:w="0" w:type="auto"/>
            <w:vAlign w:val="center"/>
          </w:tcPr>
          <w:p w:rsidR="0094634A" w:rsidRDefault="0094634A">
            <w:pPr>
              <w:pStyle w:val="TableTextSmall"/>
              <w:jc w:val="right"/>
            </w:pPr>
            <w:r w:rsidRPr="004C5B74">
              <w:t xml:space="preserve"> 170,741 </w:t>
            </w:r>
          </w:p>
        </w:tc>
        <w:tc>
          <w:tcPr>
            <w:tcW w:w="0" w:type="auto"/>
            <w:vAlign w:val="center"/>
          </w:tcPr>
          <w:p w:rsidR="0094634A" w:rsidRDefault="0094634A">
            <w:pPr>
              <w:pStyle w:val="TableTextSmall"/>
              <w:jc w:val="right"/>
            </w:pPr>
            <w:r w:rsidRPr="004C5B74">
              <w:t xml:space="preserve"> 163,467 </w:t>
            </w:r>
          </w:p>
        </w:tc>
      </w:tr>
    </w:tbl>
    <w:bookmarkEnd w:id="216"/>
    <w:p w:rsidR="00A23387" w:rsidRDefault="0094634A" w:rsidP="006916CE">
      <w:pPr>
        <w:pStyle w:val="Sources"/>
      </w:pPr>
      <w:r>
        <w:t>Source: PwC analysis</w:t>
      </w:r>
    </w:p>
    <w:p w:rsidR="005D2934" w:rsidRDefault="005D2934" w:rsidP="005D2934">
      <w:pPr>
        <w:pStyle w:val="Sources"/>
      </w:pPr>
      <w:r>
        <w:t xml:space="preserve"> </w:t>
      </w:r>
    </w:p>
    <w:p w:rsidR="005D2934" w:rsidRDefault="005D2934" w:rsidP="007023B5">
      <w:pPr>
        <w:pStyle w:val="Caption"/>
      </w:pPr>
      <w:bookmarkStart w:id="217" w:name="_Ref448144870"/>
      <w:r>
        <w:t xml:space="preserve">Figure </w:t>
      </w:r>
      <w:fldSimple w:instr=" SEQ Figure \* ARABIC ">
        <w:r w:rsidR="00E22E13">
          <w:rPr>
            <w:noProof/>
          </w:rPr>
          <w:t>40</w:t>
        </w:r>
      </w:fldSimple>
      <w:bookmarkEnd w:id="217"/>
      <w:r>
        <w:t xml:space="preserve">: </w:t>
      </w:r>
      <w:r w:rsidR="00916022">
        <w:t>Criterion 3</w:t>
      </w:r>
      <w:r w:rsidRPr="003D7B21">
        <w:t xml:space="preserve"> – Supply locations with significant production levels: </w:t>
      </w:r>
      <w:r>
        <w:t>Limestone</w:t>
      </w:r>
    </w:p>
    <w:p w:rsidR="005E201F" w:rsidRDefault="00701319" w:rsidP="006916CE">
      <w:pPr>
        <w:pStyle w:val="Sources"/>
      </w:pPr>
      <w:r>
        <w:rPr>
          <w:noProof/>
          <w:snapToGrid/>
          <w:lang w:eastAsia="en-AU"/>
        </w:rPr>
        <w:drawing>
          <wp:inline distT="0" distB="0" distL="0" distR="0" wp14:anchorId="3CA6BC7C" wp14:editId="6399C7C6">
            <wp:extent cx="6854204" cy="4971495"/>
            <wp:effectExtent l="0" t="0" r="3810" b="635"/>
            <wp:docPr id="703" name="Picture 703" descr="Figure 40 maps the supply locations with significant limestone production levels (criteria 3). It shows that production is heaviest in the Peri-urban areas to the west and east of Melbourne. " title="Figure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854204" cy="4971495"/>
                    </a:xfrm>
                    <a:prstGeom prst="rect">
                      <a:avLst/>
                    </a:prstGeom>
                  </pic:spPr>
                </pic:pic>
              </a:graphicData>
            </a:graphic>
          </wp:inline>
        </w:drawing>
      </w:r>
      <w:r w:rsidR="005D2934">
        <w:t>Source: PwC analysis</w:t>
      </w:r>
    </w:p>
    <w:p w:rsidR="0094634A" w:rsidRDefault="00A23387" w:rsidP="006916CE">
      <w:pPr>
        <w:pStyle w:val="Heading7"/>
      </w:pPr>
      <w:r>
        <w:t>Clay and clay shale</w:t>
      </w:r>
    </w:p>
    <w:p w:rsidR="008452D8" w:rsidRDefault="008452D8" w:rsidP="006916CE">
      <w:pPr>
        <w:pStyle w:val="PwCNormal"/>
      </w:pPr>
      <w:r>
        <w:t xml:space="preserve">Like limestone, clay and clay shale are extracted in relatively few locations across Victoria. Among these locations, supply is </w:t>
      </w:r>
      <w:r w:rsidR="00C625A5">
        <w:t>greatest</w:t>
      </w:r>
      <w:r>
        <w:t xml:space="preserve"> in Greater Bendigo, Mitchell and Whittlesea which are grouped here as the Inner North region</w:t>
      </w:r>
      <w:r w:rsidR="00C625A5">
        <w:t>. Significant volumes of production are also anticipated in the State’s inner E</w:t>
      </w:r>
      <w:r w:rsidR="00B03DFE">
        <w:t>a</w:t>
      </w:r>
      <w:r w:rsidR="00C625A5">
        <w:t xml:space="preserve">st and West as demonstrated in </w:t>
      </w:r>
      <w:r w:rsidR="00C625A5">
        <w:fldChar w:fldCharType="begin"/>
      </w:r>
      <w:r w:rsidR="00C625A5">
        <w:instrText xml:space="preserve"> REF _Ref448145235 \h </w:instrText>
      </w:r>
      <w:r w:rsidR="00C625A5">
        <w:fldChar w:fldCharType="separate"/>
      </w:r>
      <w:r w:rsidR="00E22E13">
        <w:t xml:space="preserve">Table </w:t>
      </w:r>
      <w:r w:rsidR="00E22E13">
        <w:rPr>
          <w:noProof/>
        </w:rPr>
        <w:t>17</w:t>
      </w:r>
      <w:r w:rsidR="00C625A5">
        <w:fldChar w:fldCharType="end"/>
      </w:r>
      <w:r w:rsidR="00C625A5">
        <w:t xml:space="preserve">. Exhaustion of known and planned reserves in anticipated in the Outer North East and Outer West regions listed in </w:t>
      </w:r>
      <w:r w:rsidR="00C625A5">
        <w:fldChar w:fldCharType="begin"/>
      </w:r>
      <w:r w:rsidR="00C625A5">
        <w:instrText xml:space="preserve"> REF _Ref448145235 \h </w:instrText>
      </w:r>
      <w:r w:rsidR="00C625A5">
        <w:fldChar w:fldCharType="separate"/>
      </w:r>
      <w:r w:rsidR="00E22E13">
        <w:t xml:space="preserve">Table </w:t>
      </w:r>
      <w:r w:rsidR="00E22E13">
        <w:rPr>
          <w:noProof/>
        </w:rPr>
        <w:t>17</w:t>
      </w:r>
      <w:r w:rsidR="00C625A5">
        <w:fldChar w:fldCharType="end"/>
      </w:r>
      <w:r w:rsidR="00C625A5">
        <w:t xml:space="preserve">, as indicated in the industry data gathering undertaken in support of this study. These locations are unable to support the level of allocated demand they receive in 2050. </w:t>
      </w:r>
    </w:p>
    <w:p w:rsidR="00C625A5" w:rsidRPr="00F77603" w:rsidRDefault="00C625A5" w:rsidP="006916CE">
      <w:pPr>
        <w:pStyle w:val="PwCNormal"/>
      </w:pPr>
      <w:r>
        <w:fldChar w:fldCharType="begin"/>
      </w:r>
      <w:r>
        <w:instrText xml:space="preserve"> REF _Ref448145245 \h </w:instrText>
      </w:r>
      <w:r>
        <w:fldChar w:fldCharType="separate"/>
      </w:r>
      <w:r w:rsidR="00E22E13">
        <w:t xml:space="preserve">Figure </w:t>
      </w:r>
      <w:r w:rsidR="00E22E13">
        <w:rPr>
          <w:noProof/>
        </w:rPr>
        <w:t>41</w:t>
      </w:r>
      <w:r>
        <w:fldChar w:fldCharType="end"/>
      </w:r>
      <w:r>
        <w:t xml:space="preserve"> maps the clay and clay shale producing locations in Victoria along with their cumulative production levels across the 2015</w:t>
      </w:r>
      <w:r w:rsidR="007303D4">
        <w:t xml:space="preserve"> to 20</w:t>
      </w:r>
      <w:r>
        <w:t xml:space="preserve">50 analysis period. </w:t>
      </w:r>
    </w:p>
    <w:p w:rsidR="00A23387" w:rsidRDefault="00A23387" w:rsidP="006916CE">
      <w:pPr>
        <w:pStyle w:val="Minorheading2"/>
      </w:pPr>
      <w:bookmarkStart w:id="218" w:name="_Ref448145235"/>
      <w:r>
        <w:t xml:space="preserve">Table </w:t>
      </w:r>
      <w:fldSimple w:instr=" SEQ Table \* ARABIC ">
        <w:r w:rsidR="00E22E13">
          <w:rPr>
            <w:noProof/>
          </w:rPr>
          <w:t>17</w:t>
        </w:r>
      </w:fldSimple>
      <w:bookmarkEnd w:id="218"/>
      <w:r>
        <w:t xml:space="preserve">: </w:t>
      </w:r>
      <w:r w:rsidR="00916022">
        <w:t>Criterion 3</w:t>
      </w:r>
      <w:r w:rsidRPr="00097B73">
        <w:t xml:space="preserve"> – Supply locations with significant production levels: </w:t>
      </w:r>
      <w:r>
        <w:t>Clay and clay shale</w:t>
      </w:r>
    </w:p>
    <w:tbl>
      <w:tblPr>
        <w:tblStyle w:val="Tables-APBase"/>
        <w:tblW w:w="0" w:type="auto"/>
        <w:tblLook w:val="04A0" w:firstRow="1" w:lastRow="0" w:firstColumn="1" w:lastColumn="0" w:noHBand="0" w:noVBand="1"/>
        <w:tblCaption w:val="Table 17 "/>
        <w:tblDescription w:val="Table 17 applies criterion 3 and lists supply locations with significant clay and clay shale production levels. In descending order, they are Inner North (Greater Bendigo, Mitchell, Whittlesea), Inner East (Knox, Mornington Peninsula, Whitehorse and Yarra Ranges), Inner West (Ballarat, Golden Plains, Moorabool), Outer North East (Latrobe, Moira, Wellington) and Outer West (Northern Grampians, Southern Grampians). "/>
      </w:tblPr>
      <w:tblGrid>
        <w:gridCol w:w="1093"/>
        <w:gridCol w:w="3220"/>
        <w:gridCol w:w="1495"/>
        <w:gridCol w:w="1495"/>
        <w:gridCol w:w="998"/>
        <w:gridCol w:w="1628"/>
        <w:gridCol w:w="1495"/>
        <w:gridCol w:w="998"/>
        <w:gridCol w:w="1628"/>
      </w:tblGrid>
      <w:tr w:rsidR="00A23387"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A23387" w:rsidRDefault="00A23387" w:rsidP="006916CE">
            <w:pPr>
              <w:pStyle w:val="TableColumnHeadingSmall"/>
            </w:pPr>
            <w:r w:rsidRPr="00D00126">
              <w:t>Region name</w:t>
            </w:r>
          </w:p>
        </w:tc>
        <w:tc>
          <w:tcPr>
            <w:tcW w:w="0" w:type="auto"/>
          </w:tcPr>
          <w:p w:rsidR="00A23387" w:rsidRDefault="00A23387"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D00126">
              <w:t>LGAs in region</w:t>
            </w:r>
          </w:p>
        </w:tc>
        <w:tc>
          <w:tcPr>
            <w:tcW w:w="0" w:type="auto"/>
          </w:tcPr>
          <w:p w:rsidR="00A23387" w:rsidRDefault="00A23387"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D00126">
              <w:t>Allocated demand, 2015</w:t>
            </w:r>
          </w:p>
        </w:tc>
        <w:tc>
          <w:tcPr>
            <w:tcW w:w="0" w:type="auto"/>
          </w:tcPr>
          <w:p w:rsidR="00A23387" w:rsidRDefault="00A23387"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D00126">
              <w:t>Allocated demand, 2025</w:t>
            </w:r>
          </w:p>
        </w:tc>
        <w:tc>
          <w:tcPr>
            <w:tcW w:w="0" w:type="auto"/>
          </w:tcPr>
          <w:p w:rsidR="00A23387" w:rsidRDefault="00A23387"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D00126">
              <w:t>Supply, 2025</w:t>
            </w:r>
          </w:p>
        </w:tc>
        <w:tc>
          <w:tcPr>
            <w:tcW w:w="0" w:type="auto"/>
          </w:tcPr>
          <w:p w:rsidR="00A23387" w:rsidRDefault="00201183"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A23387" w:rsidRPr="00D00126">
              <w:t>, 2025</w:t>
            </w:r>
          </w:p>
        </w:tc>
        <w:tc>
          <w:tcPr>
            <w:tcW w:w="0" w:type="auto"/>
          </w:tcPr>
          <w:p w:rsidR="00A23387" w:rsidRDefault="00A23387"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D00126">
              <w:t>Allocated demand, 2050</w:t>
            </w:r>
          </w:p>
        </w:tc>
        <w:tc>
          <w:tcPr>
            <w:tcW w:w="0" w:type="auto"/>
          </w:tcPr>
          <w:p w:rsidR="00A23387" w:rsidRDefault="00A23387"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D00126">
              <w:t>Supply, 2050</w:t>
            </w:r>
          </w:p>
        </w:tc>
        <w:tc>
          <w:tcPr>
            <w:tcW w:w="0" w:type="auto"/>
          </w:tcPr>
          <w:p w:rsidR="00A23387" w:rsidRDefault="00201183"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Production s</w:t>
            </w:r>
            <w:r w:rsidRPr="00226881">
              <w:t>hortfall</w:t>
            </w:r>
            <w:r w:rsidR="00A23387" w:rsidRPr="00D00126">
              <w:t>, 2050</w:t>
            </w:r>
          </w:p>
        </w:tc>
      </w:tr>
      <w:tr w:rsidR="00A23387" w:rsidTr="006916CE">
        <w:tc>
          <w:tcPr>
            <w:tcW w:w="0" w:type="auto"/>
            <w:vAlign w:val="center"/>
          </w:tcPr>
          <w:p w:rsidR="00A23387" w:rsidRDefault="00A23387" w:rsidP="006916CE">
            <w:pPr>
              <w:pStyle w:val="TableTextSmall"/>
            </w:pPr>
            <w:r w:rsidRPr="00D00126">
              <w:t>Inner North</w:t>
            </w:r>
          </w:p>
        </w:tc>
        <w:tc>
          <w:tcPr>
            <w:tcW w:w="0" w:type="auto"/>
            <w:vAlign w:val="center"/>
          </w:tcPr>
          <w:p w:rsidR="00A23387" w:rsidRDefault="00A23387" w:rsidP="006916CE">
            <w:pPr>
              <w:pStyle w:val="TableTextSmall"/>
            </w:pPr>
            <w:r w:rsidRPr="00D00126">
              <w:t>Greater Bendigo (C),Mitchell (S),Whittlesea (C)</w:t>
            </w:r>
          </w:p>
        </w:tc>
        <w:tc>
          <w:tcPr>
            <w:tcW w:w="0" w:type="auto"/>
            <w:vAlign w:val="center"/>
          </w:tcPr>
          <w:p w:rsidR="00A23387" w:rsidRDefault="00A23387" w:rsidP="006916CE">
            <w:pPr>
              <w:pStyle w:val="TableTextSmall"/>
              <w:jc w:val="right"/>
            </w:pPr>
            <w:r w:rsidRPr="00D00126">
              <w:t xml:space="preserve"> 167,628 </w:t>
            </w:r>
          </w:p>
        </w:tc>
        <w:tc>
          <w:tcPr>
            <w:tcW w:w="0" w:type="auto"/>
            <w:vAlign w:val="center"/>
          </w:tcPr>
          <w:p w:rsidR="00A23387" w:rsidRDefault="00A23387" w:rsidP="006916CE">
            <w:pPr>
              <w:pStyle w:val="TableTextSmall"/>
              <w:jc w:val="right"/>
            </w:pPr>
            <w:r w:rsidRPr="00D00126">
              <w:t xml:space="preserve"> 453,792 </w:t>
            </w:r>
          </w:p>
        </w:tc>
        <w:tc>
          <w:tcPr>
            <w:tcW w:w="0" w:type="auto"/>
            <w:vAlign w:val="center"/>
          </w:tcPr>
          <w:p w:rsidR="00A23387" w:rsidRDefault="00A23387" w:rsidP="006916CE">
            <w:pPr>
              <w:pStyle w:val="TableTextSmall"/>
              <w:jc w:val="right"/>
            </w:pPr>
            <w:r w:rsidRPr="00D00126">
              <w:t xml:space="preserve"> 453,792 </w:t>
            </w:r>
          </w:p>
        </w:tc>
        <w:tc>
          <w:tcPr>
            <w:tcW w:w="0" w:type="auto"/>
            <w:vAlign w:val="center"/>
          </w:tcPr>
          <w:p w:rsidR="00A23387" w:rsidRDefault="00A23387" w:rsidP="006916CE">
            <w:pPr>
              <w:pStyle w:val="TableTextSmall"/>
              <w:jc w:val="right"/>
            </w:pPr>
            <w:r w:rsidRPr="00D00126">
              <w:t xml:space="preserve"> -   </w:t>
            </w:r>
          </w:p>
        </w:tc>
        <w:tc>
          <w:tcPr>
            <w:tcW w:w="0" w:type="auto"/>
            <w:vAlign w:val="center"/>
          </w:tcPr>
          <w:p w:rsidR="00A23387" w:rsidRDefault="00A23387" w:rsidP="006916CE">
            <w:pPr>
              <w:pStyle w:val="TableTextSmall"/>
              <w:jc w:val="right"/>
            </w:pPr>
            <w:r w:rsidRPr="00D00126">
              <w:t xml:space="preserve"> 570,300 </w:t>
            </w:r>
          </w:p>
        </w:tc>
        <w:tc>
          <w:tcPr>
            <w:tcW w:w="0" w:type="auto"/>
            <w:vAlign w:val="center"/>
          </w:tcPr>
          <w:p w:rsidR="00A23387" w:rsidRDefault="00A23387" w:rsidP="006916CE">
            <w:pPr>
              <w:pStyle w:val="TableTextSmall"/>
              <w:jc w:val="right"/>
            </w:pPr>
            <w:r w:rsidRPr="00D00126">
              <w:t xml:space="preserve"> 567,584 </w:t>
            </w:r>
          </w:p>
        </w:tc>
        <w:tc>
          <w:tcPr>
            <w:tcW w:w="0" w:type="auto"/>
            <w:vAlign w:val="center"/>
          </w:tcPr>
          <w:p w:rsidR="00A23387" w:rsidRDefault="00A23387" w:rsidP="006916CE">
            <w:pPr>
              <w:pStyle w:val="TableTextSmall"/>
              <w:jc w:val="right"/>
            </w:pPr>
            <w:r w:rsidRPr="00D00126">
              <w:t xml:space="preserve"> 2,715 </w:t>
            </w:r>
          </w:p>
        </w:tc>
      </w:tr>
      <w:tr w:rsidR="00A23387" w:rsidTr="006916CE">
        <w:tc>
          <w:tcPr>
            <w:tcW w:w="0" w:type="auto"/>
            <w:vAlign w:val="center"/>
          </w:tcPr>
          <w:p w:rsidR="00A23387" w:rsidRDefault="00A23387" w:rsidP="006916CE">
            <w:pPr>
              <w:pStyle w:val="TableTextSmall"/>
            </w:pPr>
            <w:r w:rsidRPr="00D00126">
              <w:t>Inner East</w:t>
            </w:r>
          </w:p>
        </w:tc>
        <w:tc>
          <w:tcPr>
            <w:tcW w:w="0" w:type="auto"/>
            <w:vAlign w:val="center"/>
          </w:tcPr>
          <w:p w:rsidR="00A23387" w:rsidRDefault="00A23387" w:rsidP="006916CE">
            <w:pPr>
              <w:pStyle w:val="TableTextSmall"/>
            </w:pPr>
            <w:r w:rsidRPr="00D00126">
              <w:t>Knox (C),Mornington Peninsula (S),Whitehorse (C),Yarra Ranges (S)</w:t>
            </w:r>
          </w:p>
        </w:tc>
        <w:tc>
          <w:tcPr>
            <w:tcW w:w="0" w:type="auto"/>
            <w:vAlign w:val="center"/>
          </w:tcPr>
          <w:p w:rsidR="00A23387" w:rsidRDefault="00A23387" w:rsidP="006916CE">
            <w:pPr>
              <w:pStyle w:val="TableTextSmall"/>
              <w:jc w:val="right"/>
            </w:pPr>
            <w:r w:rsidRPr="00D00126">
              <w:t xml:space="preserve"> 369,925 </w:t>
            </w:r>
          </w:p>
        </w:tc>
        <w:tc>
          <w:tcPr>
            <w:tcW w:w="0" w:type="auto"/>
            <w:vAlign w:val="center"/>
          </w:tcPr>
          <w:p w:rsidR="00A23387" w:rsidRDefault="00A23387" w:rsidP="006916CE">
            <w:pPr>
              <w:pStyle w:val="TableTextSmall"/>
              <w:jc w:val="right"/>
            </w:pPr>
            <w:r w:rsidRPr="00D00126">
              <w:t xml:space="preserve"> 281,734 </w:t>
            </w:r>
          </w:p>
        </w:tc>
        <w:tc>
          <w:tcPr>
            <w:tcW w:w="0" w:type="auto"/>
            <w:vAlign w:val="center"/>
          </w:tcPr>
          <w:p w:rsidR="00A23387" w:rsidRDefault="00A23387" w:rsidP="006916CE">
            <w:pPr>
              <w:pStyle w:val="TableTextSmall"/>
              <w:jc w:val="right"/>
            </w:pPr>
            <w:r w:rsidRPr="00D00126">
              <w:t xml:space="preserve"> 168,701 </w:t>
            </w:r>
          </w:p>
        </w:tc>
        <w:tc>
          <w:tcPr>
            <w:tcW w:w="0" w:type="auto"/>
            <w:vAlign w:val="center"/>
          </w:tcPr>
          <w:p w:rsidR="00A23387" w:rsidRDefault="00A23387" w:rsidP="006916CE">
            <w:pPr>
              <w:pStyle w:val="TableTextSmall"/>
              <w:jc w:val="right"/>
            </w:pPr>
            <w:r w:rsidRPr="00D00126">
              <w:t xml:space="preserve"> 113,033 </w:t>
            </w:r>
          </w:p>
        </w:tc>
        <w:tc>
          <w:tcPr>
            <w:tcW w:w="0" w:type="auto"/>
            <w:vAlign w:val="center"/>
          </w:tcPr>
          <w:p w:rsidR="00A23387" w:rsidRDefault="00A23387" w:rsidP="006916CE">
            <w:pPr>
              <w:pStyle w:val="TableTextSmall"/>
              <w:jc w:val="right"/>
            </w:pPr>
            <w:r w:rsidRPr="00D00126">
              <w:t xml:space="preserve"> 354,481 </w:t>
            </w:r>
          </w:p>
        </w:tc>
        <w:tc>
          <w:tcPr>
            <w:tcW w:w="0" w:type="auto"/>
            <w:vAlign w:val="center"/>
          </w:tcPr>
          <w:p w:rsidR="00A23387" w:rsidRDefault="00A23387" w:rsidP="006916CE">
            <w:pPr>
              <w:pStyle w:val="TableTextSmall"/>
              <w:jc w:val="right"/>
            </w:pPr>
            <w:r w:rsidRPr="00D00126">
              <w:t xml:space="preserve"> 142,495 </w:t>
            </w:r>
          </w:p>
        </w:tc>
        <w:tc>
          <w:tcPr>
            <w:tcW w:w="0" w:type="auto"/>
            <w:vAlign w:val="center"/>
          </w:tcPr>
          <w:p w:rsidR="00A23387" w:rsidRDefault="00A23387" w:rsidP="006916CE">
            <w:pPr>
              <w:pStyle w:val="TableTextSmall"/>
              <w:jc w:val="right"/>
            </w:pPr>
            <w:r w:rsidRPr="00D00126">
              <w:t xml:space="preserve"> 211,986 </w:t>
            </w:r>
          </w:p>
        </w:tc>
      </w:tr>
      <w:tr w:rsidR="00A23387" w:rsidTr="006916CE">
        <w:tc>
          <w:tcPr>
            <w:tcW w:w="0" w:type="auto"/>
            <w:vAlign w:val="center"/>
          </w:tcPr>
          <w:p w:rsidR="00A23387" w:rsidRDefault="00A23387" w:rsidP="006916CE">
            <w:pPr>
              <w:pStyle w:val="TableTextSmall"/>
            </w:pPr>
            <w:r w:rsidRPr="00D00126">
              <w:t>Inner West</w:t>
            </w:r>
          </w:p>
        </w:tc>
        <w:tc>
          <w:tcPr>
            <w:tcW w:w="0" w:type="auto"/>
            <w:vAlign w:val="center"/>
          </w:tcPr>
          <w:p w:rsidR="00A23387" w:rsidRDefault="00A23387" w:rsidP="006916CE">
            <w:pPr>
              <w:pStyle w:val="TableTextSmall"/>
            </w:pPr>
            <w:r w:rsidRPr="00D00126">
              <w:t>Ballarat (C),Golden Plains (S),Moorabool (S)</w:t>
            </w:r>
          </w:p>
        </w:tc>
        <w:tc>
          <w:tcPr>
            <w:tcW w:w="0" w:type="auto"/>
            <w:vAlign w:val="center"/>
          </w:tcPr>
          <w:p w:rsidR="00A23387" w:rsidRDefault="00A23387" w:rsidP="006916CE">
            <w:pPr>
              <w:pStyle w:val="TableTextSmall"/>
              <w:jc w:val="right"/>
            </w:pPr>
            <w:r w:rsidRPr="00D00126">
              <w:t xml:space="preserve"> 319,956 </w:t>
            </w:r>
          </w:p>
        </w:tc>
        <w:tc>
          <w:tcPr>
            <w:tcW w:w="0" w:type="auto"/>
            <w:vAlign w:val="center"/>
          </w:tcPr>
          <w:p w:rsidR="00A23387" w:rsidRDefault="00A23387" w:rsidP="006916CE">
            <w:pPr>
              <w:pStyle w:val="TableTextSmall"/>
              <w:jc w:val="right"/>
            </w:pPr>
            <w:r w:rsidRPr="00D00126">
              <w:t xml:space="preserve"> 277,026 </w:t>
            </w:r>
          </w:p>
        </w:tc>
        <w:tc>
          <w:tcPr>
            <w:tcW w:w="0" w:type="auto"/>
            <w:vAlign w:val="center"/>
          </w:tcPr>
          <w:p w:rsidR="00A23387" w:rsidRDefault="00A23387" w:rsidP="006916CE">
            <w:pPr>
              <w:pStyle w:val="TableTextSmall"/>
              <w:jc w:val="right"/>
            </w:pPr>
            <w:r w:rsidRPr="00D00126">
              <w:t xml:space="preserve"> 39,398 </w:t>
            </w:r>
          </w:p>
        </w:tc>
        <w:tc>
          <w:tcPr>
            <w:tcW w:w="0" w:type="auto"/>
            <w:vAlign w:val="center"/>
          </w:tcPr>
          <w:p w:rsidR="00A23387" w:rsidRDefault="00A23387" w:rsidP="006916CE">
            <w:pPr>
              <w:pStyle w:val="TableTextSmall"/>
              <w:jc w:val="right"/>
            </w:pPr>
            <w:r w:rsidRPr="00D00126">
              <w:t xml:space="preserve"> 237,628 </w:t>
            </w:r>
          </w:p>
        </w:tc>
        <w:tc>
          <w:tcPr>
            <w:tcW w:w="0" w:type="auto"/>
            <w:vAlign w:val="center"/>
          </w:tcPr>
          <w:p w:rsidR="00A23387" w:rsidRDefault="00A23387" w:rsidP="006916CE">
            <w:pPr>
              <w:pStyle w:val="TableTextSmall"/>
              <w:jc w:val="right"/>
            </w:pPr>
            <w:r w:rsidRPr="00D00126">
              <w:t xml:space="preserve"> 352,422 </w:t>
            </w:r>
          </w:p>
        </w:tc>
        <w:tc>
          <w:tcPr>
            <w:tcW w:w="0" w:type="auto"/>
            <w:vAlign w:val="center"/>
          </w:tcPr>
          <w:p w:rsidR="00A23387" w:rsidRDefault="00A23387" w:rsidP="006916CE">
            <w:pPr>
              <w:pStyle w:val="TableTextSmall"/>
              <w:jc w:val="right"/>
            </w:pPr>
            <w:r w:rsidRPr="00D00126">
              <w:t xml:space="preserve"> 47,596 </w:t>
            </w:r>
          </w:p>
        </w:tc>
        <w:tc>
          <w:tcPr>
            <w:tcW w:w="0" w:type="auto"/>
            <w:vAlign w:val="center"/>
          </w:tcPr>
          <w:p w:rsidR="00A23387" w:rsidRDefault="00A23387" w:rsidP="006916CE">
            <w:pPr>
              <w:pStyle w:val="TableTextSmall"/>
              <w:jc w:val="right"/>
            </w:pPr>
            <w:r w:rsidRPr="00D00126">
              <w:t xml:space="preserve"> 304,825 </w:t>
            </w:r>
          </w:p>
        </w:tc>
      </w:tr>
      <w:tr w:rsidR="00A23387" w:rsidTr="006916CE">
        <w:tc>
          <w:tcPr>
            <w:tcW w:w="0" w:type="auto"/>
            <w:vAlign w:val="center"/>
          </w:tcPr>
          <w:p w:rsidR="00A23387" w:rsidRDefault="00A23387" w:rsidP="006916CE">
            <w:pPr>
              <w:pStyle w:val="TableTextSmall"/>
            </w:pPr>
            <w:r w:rsidRPr="00D00126">
              <w:t>Outer North East</w:t>
            </w:r>
          </w:p>
        </w:tc>
        <w:tc>
          <w:tcPr>
            <w:tcW w:w="0" w:type="auto"/>
            <w:vAlign w:val="center"/>
          </w:tcPr>
          <w:p w:rsidR="00A23387" w:rsidRDefault="00A23387" w:rsidP="006916CE">
            <w:pPr>
              <w:pStyle w:val="TableTextSmall"/>
            </w:pPr>
            <w:r w:rsidRPr="00D00126">
              <w:t>Latrobe (C),Moira (S),Wellington (S)</w:t>
            </w:r>
          </w:p>
        </w:tc>
        <w:tc>
          <w:tcPr>
            <w:tcW w:w="0" w:type="auto"/>
            <w:vAlign w:val="center"/>
          </w:tcPr>
          <w:p w:rsidR="00A23387" w:rsidRDefault="00A23387" w:rsidP="006916CE">
            <w:pPr>
              <w:pStyle w:val="TableTextSmall"/>
              <w:jc w:val="right"/>
            </w:pPr>
            <w:r w:rsidRPr="00D00126">
              <w:t xml:space="preserve"> 321,507 </w:t>
            </w:r>
          </w:p>
        </w:tc>
        <w:tc>
          <w:tcPr>
            <w:tcW w:w="0" w:type="auto"/>
            <w:vAlign w:val="center"/>
          </w:tcPr>
          <w:p w:rsidR="00A23387" w:rsidRDefault="00A23387" w:rsidP="006916CE">
            <w:pPr>
              <w:pStyle w:val="TableTextSmall"/>
              <w:jc w:val="right"/>
            </w:pPr>
            <w:r w:rsidRPr="00D00126">
              <w:t xml:space="preserve"> 249,870 </w:t>
            </w:r>
          </w:p>
        </w:tc>
        <w:tc>
          <w:tcPr>
            <w:tcW w:w="0" w:type="auto"/>
            <w:vAlign w:val="center"/>
          </w:tcPr>
          <w:p w:rsidR="00A23387" w:rsidRDefault="00A23387" w:rsidP="006916CE">
            <w:pPr>
              <w:pStyle w:val="TableTextSmall"/>
              <w:jc w:val="right"/>
            </w:pPr>
            <w:r w:rsidRPr="00D00126">
              <w:t xml:space="preserve"> 249,870 </w:t>
            </w:r>
          </w:p>
        </w:tc>
        <w:tc>
          <w:tcPr>
            <w:tcW w:w="0" w:type="auto"/>
            <w:vAlign w:val="center"/>
          </w:tcPr>
          <w:p w:rsidR="00A23387" w:rsidRDefault="00A23387" w:rsidP="006916CE">
            <w:pPr>
              <w:pStyle w:val="TableTextSmall"/>
              <w:jc w:val="right"/>
            </w:pPr>
            <w:r w:rsidRPr="00D00126">
              <w:t xml:space="preserve"> -   </w:t>
            </w:r>
          </w:p>
        </w:tc>
        <w:tc>
          <w:tcPr>
            <w:tcW w:w="0" w:type="auto"/>
            <w:vAlign w:val="center"/>
          </w:tcPr>
          <w:p w:rsidR="00A23387" w:rsidRDefault="00A23387" w:rsidP="006916CE">
            <w:pPr>
              <w:pStyle w:val="TableTextSmall"/>
              <w:jc w:val="right"/>
            </w:pPr>
            <w:r w:rsidRPr="00D00126">
              <w:t xml:space="preserve"> 310,031 </w:t>
            </w:r>
          </w:p>
        </w:tc>
        <w:tc>
          <w:tcPr>
            <w:tcW w:w="0" w:type="auto"/>
            <w:vAlign w:val="center"/>
          </w:tcPr>
          <w:p w:rsidR="00A23387" w:rsidRDefault="00A23387" w:rsidP="006916CE">
            <w:pPr>
              <w:pStyle w:val="TableTextSmall"/>
              <w:jc w:val="right"/>
            </w:pPr>
            <w:r w:rsidRPr="00D00126">
              <w:t xml:space="preserve"> -   </w:t>
            </w:r>
          </w:p>
        </w:tc>
        <w:tc>
          <w:tcPr>
            <w:tcW w:w="0" w:type="auto"/>
            <w:vAlign w:val="center"/>
          </w:tcPr>
          <w:p w:rsidR="00A23387" w:rsidRDefault="00A23387" w:rsidP="006916CE">
            <w:pPr>
              <w:pStyle w:val="TableTextSmall"/>
              <w:jc w:val="right"/>
            </w:pPr>
            <w:r w:rsidRPr="00D00126">
              <w:t xml:space="preserve"> 310,031 </w:t>
            </w:r>
          </w:p>
        </w:tc>
      </w:tr>
      <w:tr w:rsidR="00A23387" w:rsidTr="006916CE">
        <w:tc>
          <w:tcPr>
            <w:tcW w:w="0" w:type="auto"/>
            <w:vAlign w:val="center"/>
          </w:tcPr>
          <w:p w:rsidR="00A23387" w:rsidRDefault="00A23387" w:rsidP="006916CE">
            <w:pPr>
              <w:pStyle w:val="TableTextSmall"/>
            </w:pPr>
            <w:r w:rsidRPr="00D00126">
              <w:t>Outer West</w:t>
            </w:r>
          </w:p>
        </w:tc>
        <w:tc>
          <w:tcPr>
            <w:tcW w:w="0" w:type="auto"/>
            <w:vAlign w:val="center"/>
          </w:tcPr>
          <w:p w:rsidR="00A23387" w:rsidRDefault="00A23387" w:rsidP="006916CE">
            <w:pPr>
              <w:pStyle w:val="TableTextSmall"/>
            </w:pPr>
            <w:r w:rsidRPr="00D00126">
              <w:t>Northern Grampians (S),Southern Grampians (S)</w:t>
            </w:r>
          </w:p>
        </w:tc>
        <w:tc>
          <w:tcPr>
            <w:tcW w:w="0" w:type="auto"/>
            <w:vAlign w:val="center"/>
          </w:tcPr>
          <w:p w:rsidR="00A23387" w:rsidRDefault="00A23387" w:rsidP="006916CE">
            <w:pPr>
              <w:pStyle w:val="TableTextSmall"/>
              <w:jc w:val="right"/>
            </w:pPr>
            <w:r w:rsidRPr="00D00126">
              <w:t xml:space="preserve"> 23,380 </w:t>
            </w:r>
          </w:p>
        </w:tc>
        <w:tc>
          <w:tcPr>
            <w:tcW w:w="0" w:type="auto"/>
            <w:vAlign w:val="center"/>
          </w:tcPr>
          <w:p w:rsidR="00A23387" w:rsidRDefault="00A23387" w:rsidP="006916CE">
            <w:pPr>
              <w:pStyle w:val="TableTextSmall"/>
              <w:jc w:val="right"/>
            </w:pPr>
            <w:r w:rsidRPr="00D00126">
              <w:t xml:space="preserve"> 18,031 </w:t>
            </w:r>
          </w:p>
        </w:tc>
        <w:tc>
          <w:tcPr>
            <w:tcW w:w="0" w:type="auto"/>
            <w:vAlign w:val="center"/>
          </w:tcPr>
          <w:p w:rsidR="00A23387" w:rsidRDefault="00A23387" w:rsidP="006916CE">
            <w:pPr>
              <w:pStyle w:val="TableTextSmall"/>
              <w:jc w:val="right"/>
            </w:pPr>
            <w:r w:rsidRPr="00D00126">
              <w:t xml:space="preserve"> 18,031 </w:t>
            </w:r>
          </w:p>
        </w:tc>
        <w:tc>
          <w:tcPr>
            <w:tcW w:w="0" w:type="auto"/>
            <w:vAlign w:val="center"/>
          </w:tcPr>
          <w:p w:rsidR="00A23387" w:rsidRDefault="00A23387" w:rsidP="006916CE">
            <w:pPr>
              <w:pStyle w:val="TableTextSmall"/>
              <w:jc w:val="right"/>
            </w:pPr>
            <w:r w:rsidRPr="00D00126">
              <w:t xml:space="preserve"> -   </w:t>
            </w:r>
          </w:p>
        </w:tc>
        <w:tc>
          <w:tcPr>
            <w:tcW w:w="0" w:type="auto"/>
            <w:vAlign w:val="center"/>
          </w:tcPr>
          <w:p w:rsidR="00A23387" w:rsidRDefault="00A23387" w:rsidP="006916CE">
            <w:pPr>
              <w:pStyle w:val="TableTextSmall"/>
              <w:jc w:val="right"/>
            </w:pPr>
            <w:r w:rsidRPr="00D00126">
              <w:t xml:space="preserve"> 24,062 </w:t>
            </w:r>
          </w:p>
        </w:tc>
        <w:tc>
          <w:tcPr>
            <w:tcW w:w="0" w:type="auto"/>
            <w:vAlign w:val="center"/>
          </w:tcPr>
          <w:p w:rsidR="00A23387" w:rsidRDefault="00A23387" w:rsidP="006916CE">
            <w:pPr>
              <w:pStyle w:val="TableTextSmall"/>
              <w:jc w:val="right"/>
            </w:pPr>
            <w:r w:rsidRPr="00D00126">
              <w:t xml:space="preserve"> -   </w:t>
            </w:r>
          </w:p>
        </w:tc>
        <w:tc>
          <w:tcPr>
            <w:tcW w:w="0" w:type="auto"/>
            <w:vAlign w:val="center"/>
          </w:tcPr>
          <w:p w:rsidR="00A23387" w:rsidRDefault="00A23387" w:rsidP="006916CE">
            <w:pPr>
              <w:pStyle w:val="TableTextSmall"/>
              <w:jc w:val="right"/>
            </w:pPr>
            <w:r w:rsidRPr="00D00126">
              <w:t xml:space="preserve"> 24,062 </w:t>
            </w:r>
          </w:p>
        </w:tc>
      </w:tr>
    </w:tbl>
    <w:p w:rsidR="00A23387" w:rsidRDefault="00A23387" w:rsidP="006916CE">
      <w:pPr>
        <w:pStyle w:val="Sources"/>
      </w:pPr>
      <w:r>
        <w:t>Source: PwC analysis</w:t>
      </w:r>
    </w:p>
    <w:p w:rsidR="005D2934" w:rsidRDefault="005D2934" w:rsidP="00A23387">
      <w:pPr>
        <w:pStyle w:val="PwCNormal"/>
      </w:pPr>
      <w:r w:rsidRPr="005D2934">
        <w:rPr>
          <w:noProof/>
          <w:snapToGrid/>
          <w:lang w:eastAsia="en-AU"/>
        </w:rPr>
        <w:t xml:space="preserve"> </w:t>
      </w:r>
    </w:p>
    <w:p w:rsidR="005D2934" w:rsidRDefault="005D2934" w:rsidP="007023B5">
      <w:pPr>
        <w:pStyle w:val="Caption"/>
      </w:pPr>
      <w:bookmarkStart w:id="219" w:name="_Ref448145245"/>
      <w:r>
        <w:t xml:space="preserve">Figure </w:t>
      </w:r>
      <w:fldSimple w:instr=" SEQ Figure \* ARABIC ">
        <w:r w:rsidR="00E22E13">
          <w:rPr>
            <w:noProof/>
          </w:rPr>
          <w:t>41</w:t>
        </w:r>
      </w:fldSimple>
      <w:bookmarkEnd w:id="219"/>
      <w:r>
        <w:t>:</w:t>
      </w:r>
      <w:r w:rsidRPr="005D2934">
        <w:t xml:space="preserve"> </w:t>
      </w:r>
      <w:r w:rsidR="00916022">
        <w:t>Criterion 3</w:t>
      </w:r>
      <w:r w:rsidRPr="00097B73">
        <w:t xml:space="preserve"> – Supply locations with significant production levels: </w:t>
      </w:r>
      <w:r>
        <w:t>Clay and clay shale</w:t>
      </w:r>
    </w:p>
    <w:p w:rsidR="00265E4D" w:rsidRDefault="00962FD4" w:rsidP="006916CE">
      <w:pPr>
        <w:pStyle w:val="Sources"/>
        <w:rPr>
          <w:bCs/>
          <w:color w:val="A32020"/>
        </w:rPr>
        <w:sectPr w:rsidR="00265E4D" w:rsidSect="001A7D05">
          <w:pgSz w:w="16840" w:h="11907" w:orient="landscape" w:code="9"/>
          <w:pgMar w:top="1843" w:right="1588" w:bottom="1843" w:left="1418" w:header="567" w:footer="567" w:gutter="0"/>
          <w:cols w:space="227"/>
          <w:docGrid w:linePitch="360"/>
        </w:sectPr>
      </w:pPr>
      <w:r>
        <w:rPr>
          <w:noProof/>
          <w:snapToGrid/>
          <w:lang w:eastAsia="en-AU"/>
        </w:rPr>
        <w:drawing>
          <wp:inline distT="0" distB="0" distL="0" distR="0" wp14:anchorId="1D91D1E5" wp14:editId="7E2E054B">
            <wp:extent cx="6844683" cy="4962396"/>
            <wp:effectExtent l="0" t="0" r="0" b="0"/>
            <wp:docPr id="311" name="Picture 311" descr="Figure 41 maps the supply locations with significant clay and clay shale production levels (criteria 3). It shows that production is heaviest in the inner north area to the north of Melbourne. " title="Figure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844683" cy="4962396"/>
                    </a:xfrm>
                    <a:prstGeom prst="rect">
                      <a:avLst/>
                    </a:prstGeom>
                  </pic:spPr>
                </pic:pic>
              </a:graphicData>
            </a:graphic>
          </wp:inline>
        </w:drawing>
      </w:r>
      <w:r w:rsidR="005D2934">
        <w:t>Source: PwC analysis</w:t>
      </w:r>
      <w:bookmarkEnd w:id="192"/>
    </w:p>
    <w:p w:rsidR="00495DCA" w:rsidRDefault="00200559" w:rsidP="00417D11">
      <w:pPr>
        <w:pStyle w:val="Heading6"/>
      </w:pPr>
      <w:r>
        <w:t xml:space="preserve">Criterion </w:t>
      </w:r>
      <w:r w:rsidR="00A03F70">
        <w:t>4</w:t>
      </w:r>
      <w:r>
        <w:t xml:space="preserve">: </w:t>
      </w:r>
      <w:r w:rsidR="00A07D67">
        <w:t>L</w:t>
      </w:r>
      <w:r w:rsidR="00495DCA">
        <w:t>ocations critical to supporting</w:t>
      </w:r>
      <w:r w:rsidR="00A07D67">
        <w:t xml:space="preserve"> Greater Melbourne’s future</w:t>
      </w:r>
    </w:p>
    <w:p w:rsidR="00DF07B3" w:rsidRDefault="00DF07B3" w:rsidP="00DF07B3">
      <w:pPr>
        <w:pStyle w:val="PwCNormal"/>
      </w:pPr>
      <w:r>
        <w:t xml:space="preserve">One of the themes of this analysis has been the trend towards increasing competition amongst alternative uses for land on Greater Melbourne’s fringe. For reasons including noise, dust, traffic, environmental and amenity impacts, extractive industries cannot always coexist with other land uses, such as residential development. </w:t>
      </w:r>
      <w:r w:rsidR="003D04AB">
        <w:t>PwC understands</w:t>
      </w:r>
      <w:r>
        <w:t xml:space="preserve"> that encroachment by residential and other development types is increasingly threatening the supply of extractive resources in peri-urban locations in Victoria. </w:t>
      </w:r>
    </w:p>
    <w:p w:rsidR="003D04AB" w:rsidRDefault="00495DCA" w:rsidP="00417D11">
      <w:pPr>
        <w:pStyle w:val="PwCNormal"/>
      </w:pPr>
      <w:r>
        <w:t xml:space="preserve">This criterion </w:t>
      </w:r>
      <w:r w:rsidR="00200559">
        <w:t xml:space="preserve">has been applied </w:t>
      </w:r>
      <w:r w:rsidR="002725B8">
        <w:t xml:space="preserve">to </w:t>
      </w:r>
      <w:r>
        <w:t xml:space="preserve">identify those locations that would result in infrastructure cost increases in </w:t>
      </w:r>
      <w:r w:rsidR="00200559">
        <w:t xml:space="preserve">Greater </w:t>
      </w:r>
      <w:r>
        <w:t xml:space="preserve">Melbourne should sterilisation of </w:t>
      </w:r>
      <w:r w:rsidR="00200559">
        <w:t xml:space="preserve">their </w:t>
      </w:r>
      <w:r>
        <w:t xml:space="preserve">extractive resources </w:t>
      </w:r>
      <w:r w:rsidR="00200559">
        <w:t>occur</w:t>
      </w:r>
      <w:r>
        <w:t>.</w:t>
      </w:r>
      <w:r w:rsidR="003D04AB">
        <w:t xml:space="preserve"> Locations are ranked according to the proportion of total State production they deliver across the 2015</w:t>
      </w:r>
      <w:r w:rsidR="007303D4">
        <w:t xml:space="preserve"> to 20</w:t>
      </w:r>
      <w:r w:rsidR="003D04AB">
        <w:t>50 period, for each of the rock types considered.</w:t>
      </w:r>
    </w:p>
    <w:p w:rsidR="00FF3006" w:rsidRDefault="006D5CAC" w:rsidP="00417D11">
      <w:pPr>
        <w:pStyle w:val="PwCNormal"/>
      </w:pPr>
      <w:r>
        <w:t>Across all construction types, h</w:t>
      </w:r>
      <w:r w:rsidR="00FF3006">
        <w:t>ard rock resources represent approximately 6</w:t>
      </w:r>
      <w:r w:rsidR="002D7A56">
        <w:t>5</w:t>
      </w:r>
      <w:r w:rsidR="00FF3006">
        <w:t> per cent of Greater Melbourne’s demand in 2015, followed by sand and gravel at 27 per cent, limestone at five per ce</w:t>
      </w:r>
      <w:r w:rsidR="002D7A56">
        <w:t>nt and clay and clay shale at three</w:t>
      </w:r>
      <w:r w:rsidR="00FF3006">
        <w:t xml:space="preserve"> per cent. </w:t>
      </w:r>
      <w:r w:rsidR="000730FE">
        <w:t>Greater Melbourne’s demand for different extractive resource types is illustrated in</w:t>
      </w:r>
      <w:r w:rsidR="00916022">
        <w:t xml:space="preserve"> </w:t>
      </w:r>
      <w:r w:rsidR="00916022">
        <w:fldChar w:fldCharType="begin"/>
      </w:r>
      <w:r w:rsidR="00916022">
        <w:instrText xml:space="preserve"> REF _Ref448314002 \h </w:instrText>
      </w:r>
      <w:r w:rsidR="00916022">
        <w:fldChar w:fldCharType="separate"/>
      </w:r>
      <w:r w:rsidR="00E22E13">
        <w:t xml:space="preserve">Figure </w:t>
      </w:r>
      <w:r w:rsidR="00E22E13">
        <w:rPr>
          <w:noProof/>
        </w:rPr>
        <w:t>42</w:t>
      </w:r>
      <w:r w:rsidR="00916022">
        <w:fldChar w:fldCharType="end"/>
      </w:r>
      <w:r w:rsidR="000730FE">
        <w:t xml:space="preserve">. A summary table of cumulative demand levels for Greater Melbourne is provided at </w:t>
      </w:r>
      <w:r w:rsidR="00916022">
        <w:fldChar w:fldCharType="begin"/>
      </w:r>
      <w:r w:rsidR="00916022">
        <w:instrText xml:space="preserve"> REF _Ref448314011 \h </w:instrText>
      </w:r>
      <w:r w:rsidR="00916022">
        <w:fldChar w:fldCharType="separate"/>
      </w:r>
      <w:r w:rsidR="00E22E13">
        <w:t xml:space="preserve">Table </w:t>
      </w:r>
      <w:r w:rsidR="00E22E13">
        <w:rPr>
          <w:noProof/>
        </w:rPr>
        <w:t>18</w:t>
      </w:r>
      <w:r w:rsidR="00916022">
        <w:fldChar w:fldCharType="end"/>
      </w:r>
      <w:r w:rsidR="00916022">
        <w:t xml:space="preserve">. </w:t>
      </w:r>
    </w:p>
    <w:p w:rsidR="000730FE" w:rsidRDefault="000730FE" w:rsidP="006916CE">
      <w:pPr>
        <w:pStyle w:val="Caption"/>
      </w:pPr>
      <w:bookmarkStart w:id="220" w:name="_Ref448314011"/>
      <w:r>
        <w:t xml:space="preserve">Table </w:t>
      </w:r>
      <w:fldSimple w:instr=" SEQ Table \* ARABIC ">
        <w:r w:rsidR="00E22E13">
          <w:rPr>
            <w:noProof/>
          </w:rPr>
          <w:t>18</w:t>
        </w:r>
      </w:fldSimple>
      <w:bookmarkEnd w:id="220"/>
      <w:r>
        <w:t>: Demand for extractive resources in Greater Melbourne for select years</w:t>
      </w:r>
      <w:r w:rsidR="00295884">
        <w:t xml:space="preserve"> (tonnes)</w:t>
      </w:r>
    </w:p>
    <w:tbl>
      <w:tblPr>
        <w:tblStyle w:val="Tables-APBase"/>
        <w:tblW w:w="5000" w:type="pct"/>
        <w:tblLayout w:type="fixed"/>
        <w:tblLook w:val="04A0" w:firstRow="1" w:lastRow="0" w:firstColumn="1" w:lastColumn="0" w:noHBand="0" w:noVBand="1"/>
        <w:tblCaption w:val="Table 18"/>
        <w:tblDescription w:val="Table 18 shows demand for extractive resources in Greater Melbourne in 2015, 2025 and 2050. Demand for hard rock in 2015 was 24,764,886 tonnes. In 2050 it is expected to be 51,029,658 tonnes. Demand for limestone in 2015 was 1,709,721 tonnes. In 2050 it is expected to be 4,344,054 tonnes. Demand for sand and sand gravel in 2015 was 10,197,629 tonnes. In 2050 it is expected to be 13,549,485 tonnes. Demand for clay and clay shale in 2015 was 976,207 tonnes. In 2050 it is expected to be 1,319,932 tonnes. Cumulative demand between 2015 and 2050 for hard rock will be 1,283,545,497 tonnes. Limestone will be 101,349,366 tonnes. Sand and sand gravel will be 412,130,808 tonnes. Clay and clay shale will be 40,062,953 tonnes. "/>
      </w:tblPr>
      <w:tblGrid>
        <w:gridCol w:w="2007"/>
        <w:gridCol w:w="2007"/>
        <w:gridCol w:w="2007"/>
        <w:gridCol w:w="2007"/>
        <w:gridCol w:w="2007"/>
        <w:gridCol w:w="2007"/>
        <w:gridCol w:w="2008"/>
      </w:tblGrid>
      <w:tr w:rsidR="000730FE"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07" w:type="dxa"/>
          </w:tcPr>
          <w:p w:rsidR="000730FE" w:rsidRDefault="000730FE" w:rsidP="006916CE">
            <w:pPr>
              <w:pStyle w:val="TableColumnHeadingSmall"/>
            </w:pPr>
            <w:r>
              <w:t>Rock type</w:t>
            </w:r>
          </w:p>
        </w:tc>
        <w:tc>
          <w:tcPr>
            <w:tcW w:w="2007" w:type="dxa"/>
          </w:tcPr>
          <w:p w:rsidR="000730FE" w:rsidRDefault="000730FE"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2015</w:t>
            </w:r>
          </w:p>
        </w:tc>
        <w:tc>
          <w:tcPr>
            <w:tcW w:w="2007" w:type="dxa"/>
          </w:tcPr>
          <w:p w:rsidR="000730FE" w:rsidRDefault="000730FE"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2025</w:t>
            </w:r>
          </w:p>
        </w:tc>
        <w:tc>
          <w:tcPr>
            <w:tcW w:w="2007" w:type="dxa"/>
          </w:tcPr>
          <w:p w:rsidR="000730FE" w:rsidRDefault="000730FE"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7303D4">
              <w:t xml:space="preserve"> to 20</w:t>
            </w:r>
            <w:r>
              <w:t>25</w:t>
            </w:r>
          </w:p>
        </w:tc>
        <w:tc>
          <w:tcPr>
            <w:tcW w:w="2007" w:type="dxa"/>
          </w:tcPr>
          <w:p w:rsidR="000730FE" w:rsidRDefault="000730FE"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Demand 2050</w:t>
            </w:r>
          </w:p>
        </w:tc>
        <w:tc>
          <w:tcPr>
            <w:tcW w:w="2007" w:type="dxa"/>
          </w:tcPr>
          <w:p w:rsidR="000730FE" w:rsidRDefault="000730FE"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2026</w:t>
            </w:r>
            <w:r w:rsidR="007303D4">
              <w:t xml:space="preserve"> to </w:t>
            </w:r>
            <w:r>
              <w:t>2050</w:t>
            </w:r>
          </w:p>
        </w:tc>
        <w:tc>
          <w:tcPr>
            <w:tcW w:w="2008" w:type="dxa"/>
          </w:tcPr>
          <w:p w:rsidR="000730FE" w:rsidRDefault="000730FE"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t>Cumulative demand, 2015</w:t>
            </w:r>
            <w:r w:rsidR="007303D4">
              <w:t xml:space="preserve"> to 20</w:t>
            </w:r>
            <w:r>
              <w:t>50</w:t>
            </w:r>
          </w:p>
        </w:tc>
      </w:tr>
      <w:tr w:rsidR="0035426F" w:rsidTr="006916CE">
        <w:tc>
          <w:tcPr>
            <w:tcW w:w="2007" w:type="dxa"/>
          </w:tcPr>
          <w:p w:rsidR="0035426F" w:rsidRDefault="0035426F" w:rsidP="006916CE">
            <w:pPr>
              <w:pStyle w:val="TableTextSmall"/>
            </w:pPr>
            <w:r w:rsidRPr="000C06AF">
              <w:t>Hard rock</w:t>
            </w:r>
          </w:p>
        </w:tc>
        <w:tc>
          <w:tcPr>
            <w:tcW w:w="2007" w:type="dxa"/>
          </w:tcPr>
          <w:p w:rsidR="0035426F" w:rsidRDefault="0035426F" w:rsidP="006916CE">
            <w:pPr>
              <w:pStyle w:val="TableTextSmall"/>
              <w:jc w:val="right"/>
            </w:pPr>
            <w:r w:rsidRPr="00CB463C">
              <w:t>24,764,886</w:t>
            </w:r>
          </w:p>
        </w:tc>
        <w:tc>
          <w:tcPr>
            <w:tcW w:w="2007" w:type="dxa"/>
          </w:tcPr>
          <w:p w:rsidR="0035426F" w:rsidRDefault="0035426F" w:rsidP="006916CE">
            <w:pPr>
              <w:pStyle w:val="TableTextSmall"/>
              <w:jc w:val="right"/>
            </w:pPr>
            <w:r w:rsidRPr="00CB463C">
              <w:t>29,953,244</w:t>
            </w:r>
          </w:p>
        </w:tc>
        <w:tc>
          <w:tcPr>
            <w:tcW w:w="2007" w:type="dxa"/>
          </w:tcPr>
          <w:p w:rsidR="0035426F" w:rsidRDefault="0035426F" w:rsidP="006916CE">
            <w:pPr>
              <w:pStyle w:val="TableTextSmall"/>
              <w:jc w:val="right"/>
            </w:pPr>
            <w:r w:rsidRPr="00CB463C">
              <w:t>305,250,080</w:t>
            </w:r>
          </w:p>
        </w:tc>
        <w:tc>
          <w:tcPr>
            <w:tcW w:w="2007" w:type="dxa"/>
          </w:tcPr>
          <w:p w:rsidR="0035426F" w:rsidRDefault="0035426F" w:rsidP="006916CE">
            <w:pPr>
              <w:pStyle w:val="TableTextSmall"/>
              <w:jc w:val="right"/>
            </w:pPr>
            <w:r w:rsidRPr="00CB463C">
              <w:t>51,029,658</w:t>
            </w:r>
          </w:p>
        </w:tc>
        <w:tc>
          <w:tcPr>
            <w:tcW w:w="2007" w:type="dxa"/>
          </w:tcPr>
          <w:p w:rsidR="0035426F" w:rsidRDefault="0035426F" w:rsidP="006916CE">
            <w:pPr>
              <w:pStyle w:val="TableTextSmall"/>
              <w:jc w:val="right"/>
            </w:pPr>
            <w:r w:rsidRPr="00CB463C">
              <w:t>978,295,417</w:t>
            </w:r>
          </w:p>
        </w:tc>
        <w:tc>
          <w:tcPr>
            <w:tcW w:w="2008" w:type="dxa"/>
          </w:tcPr>
          <w:p w:rsidR="0035426F" w:rsidRDefault="0035426F" w:rsidP="006916CE">
            <w:pPr>
              <w:pStyle w:val="TableTextSmall"/>
              <w:jc w:val="right"/>
            </w:pPr>
            <w:r w:rsidRPr="00CB463C">
              <w:t>1,283,545,497</w:t>
            </w:r>
          </w:p>
        </w:tc>
      </w:tr>
      <w:tr w:rsidR="0035426F" w:rsidTr="006916CE">
        <w:tc>
          <w:tcPr>
            <w:tcW w:w="2007" w:type="dxa"/>
          </w:tcPr>
          <w:p w:rsidR="0035426F" w:rsidRDefault="0035426F" w:rsidP="006916CE">
            <w:pPr>
              <w:pStyle w:val="TableTextSmall"/>
            </w:pPr>
            <w:r w:rsidRPr="000C06AF">
              <w:t>Limestone</w:t>
            </w:r>
          </w:p>
        </w:tc>
        <w:tc>
          <w:tcPr>
            <w:tcW w:w="2007" w:type="dxa"/>
          </w:tcPr>
          <w:p w:rsidR="0035426F" w:rsidRDefault="0035426F" w:rsidP="006916CE">
            <w:pPr>
              <w:pStyle w:val="TableTextSmall"/>
              <w:jc w:val="right"/>
            </w:pPr>
            <w:r w:rsidRPr="00CB463C">
              <w:t>1,709,721</w:t>
            </w:r>
          </w:p>
        </w:tc>
        <w:tc>
          <w:tcPr>
            <w:tcW w:w="2007" w:type="dxa"/>
          </w:tcPr>
          <w:p w:rsidR="0035426F" w:rsidRDefault="0035426F" w:rsidP="006916CE">
            <w:pPr>
              <w:pStyle w:val="TableTextSmall"/>
              <w:jc w:val="right"/>
            </w:pPr>
            <w:r w:rsidRPr="00CB463C">
              <w:t>2,229,169</w:t>
            </w:r>
          </w:p>
        </w:tc>
        <w:tc>
          <w:tcPr>
            <w:tcW w:w="2007" w:type="dxa"/>
          </w:tcPr>
          <w:p w:rsidR="0035426F" w:rsidRDefault="0035426F" w:rsidP="006916CE">
            <w:pPr>
              <w:pStyle w:val="TableTextSmall"/>
              <w:jc w:val="right"/>
            </w:pPr>
            <w:r w:rsidRPr="00CB463C">
              <w:t>21,636,811</w:t>
            </w:r>
          </w:p>
        </w:tc>
        <w:tc>
          <w:tcPr>
            <w:tcW w:w="2007" w:type="dxa"/>
          </w:tcPr>
          <w:p w:rsidR="0035426F" w:rsidRDefault="0035426F" w:rsidP="006916CE">
            <w:pPr>
              <w:pStyle w:val="TableTextSmall"/>
              <w:jc w:val="right"/>
            </w:pPr>
            <w:r w:rsidRPr="00CB463C">
              <w:t>4,344,054</w:t>
            </w:r>
          </w:p>
        </w:tc>
        <w:tc>
          <w:tcPr>
            <w:tcW w:w="2007" w:type="dxa"/>
          </w:tcPr>
          <w:p w:rsidR="0035426F" w:rsidRDefault="0035426F" w:rsidP="006916CE">
            <w:pPr>
              <w:pStyle w:val="TableTextSmall"/>
              <w:jc w:val="right"/>
            </w:pPr>
            <w:r w:rsidRPr="00CB463C">
              <w:t>79,712,556</w:t>
            </w:r>
          </w:p>
        </w:tc>
        <w:tc>
          <w:tcPr>
            <w:tcW w:w="2008" w:type="dxa"/>
          </w:tcPr>
          <w:p w:rsidR="0035426F" w:rsidRDefault="0035426F" w:rsidP="006916CE">
            <w:pPr>
              <w:pStyle w:val="TableTextSmall"/>
              <w:jc w:val="right"/>
            </w:pPr>
            <w:r w:rsidRPr="00CB463C">
              <w:t>101,349,366</w:t>
            </w:r>
          </w:p>
        </w:tc>
      </w:tr>
      <w:tr w:rsidR="0035426F" w:rsidTr="006916CE">
        <w:tc>
          <w:tcPr>
            <w:tcW w:w="2007" w:type="dxa"/>
          </w:tcPr>
          <w:p w:rsidR="0035426F" w:rsidRDefault="0035426F" w:rsidP="006916CE">
            <w:pPr>
              <w:pStyle w:val="TableTextSmall"/>
            </w:pPr>
            <w:r w:rsidRPr="000C06AF">
              <w:t>Sand and gravel</w:t>
            </w:r>
          </w:p>
        </w:tc>
        <w:tc>
          <w:tcPr>
            <w:tcW w:w="2007" w:type="dxa"/>
          </w:tcPr>
          <w:p w:rsidR="0035426F" w:rsidRDefault="0035426F" w:rsidP="006916CE">
            <w:pPr>
              <w:pStyle w:val="TableTextSmall"/>
              <w:jc w:val="right"/>
            </w:pPr>
            <w:r w:rsidRPr="00CB463C">
              <w:t>10,197,629</w:t>
            </w:r>
          </w:p>
        </w:tc>
        <w:tc>
          <w:tcPr>
            <w:tcW w:w="2007" w:type="dxa"/>
          </w:tcPr>
          <w:p w:rsidR="0035426F" w:rsidRDefault="0035426F" w:rsidP="006916CE">
            <w:pPr>
              <w:pStyle w:val="TableTextSmall"/>
              <w:jc w:val="right"/>
            </w:pPr>
            <w:r w:rsidRPr="00CB463C">
              <w:t>10,854,517</w:t>
            </w:r>
          </w:p>
        </w:tc>
        <w:tc>
          <w:tcPr>
            <w:tcW w:w="2007" w:type="dxa"/>
          </w:tcPr>
          <w:p w:rsidR="0035426F" w:rsidRDefault="0035426F" w:rsidP="006916CE">
            <w:pPr>
              <w:pStyle w:val="TableTextSmall"/>
              <w:jc w:val="right"/>
            </w:pPr>
            <w:r w:rsidRPr="00CB463C">
              <w:t>120,216,961</w:t>
            </w:r>
          </w:p>
        </w:tc>
        <w:tc>
          <w:tcPr>
            <w:tcW w:w="2007" w:type="dxa"/>
          </w:tcPr>
          <w:p w:rsidR="0035426F" w:rsidRDefault="0035426F" w:rsidP="006916CE">
            <w:pPr>
              <w:pStyle w:val="TableTextSmall"/>
              <w:jc w:val="right"/>
            </w:pPr>
            <w:r w:rsidRPr="00CB463C">
              <w:t>13,549,485</w:t>
            </w:r>
          </w:p>
        </w:tc>
        <w:tc>
          <w:tcPr>
            <w:tcW w:w="2007" w:type="dxa"/>
          </w:tcPr>
          <w:p w:rsidR="0035426F" w:rsidRDefault="0035426F" w:rsidP="006916CE">
            <w:pPr>
              <w:pStyle w:val="TableTextSmall"/>
              <w:jc w:val="right"/>
            </w:pPr>
            <w:r w:rsidRPr="00CB463C">
              <w:t>291,913,846</w:t>
            </w:r>
          </w:p>
        </w:tc>
        <w:tc>
          <w:tcPr>
            <w:tcW w:w="2008" w:type="dxa"/>
          </w:tcPr>
          <w:p w:rsidR="0035426F" w:rsidRDefault="0035426F" w:rsidP="006916CE">
            <w:pPr>
              <w:pStyle w:val="TableTextSmall"/>
              <w:jc w:val="right"/>
            </w:pPr>
            <w:r w:rsidRPr="00CB463C">
              <w:t>412,130,808</w:t>
            </w:r>
          </w:p>
        </w:tc>
      </w:tr>
      <w:tr w:rsidR="0035426F" w:rsidTr="006916CE">
        <w:tc>
          <w:tcPr>
            <w:tcW w:w="2007" w:type="dxa"/>
          </w:tcPr>
          <w:p w:rsidR="0035426F" w:rsidRDefault="0035426F" w:rsidP="006916CE">
            <w:pPr>
              <w:pStyle w:val="TableTextSmall"/>
            </w:pPr>
            <w:r w:rsidRPr="000C06AF">
              <w:t>Clay and clay shale</w:t>
            </w:r>
          </w:p>
        </w:tc>
        <w:tc>
          <w:tcPr>
            <w:tcW w:w="2007" w:type="dxa"/>
          </w:tcPr>
          <w:p w:rsidR="0035426F" w:rsidRDefault="0035426F" w:rsidP="006916CE">
            <w:pPr>
              <w:pStyle w:val="TableTextSmall"/>
              <w:jc w:val="right"/>
            </w:pPr>
            <w:r w:rsidRPr="00CB463C">
              <w:t>976,207</w:t>
            </w:r>
          </w:p>
        </w:tc>
        <w:tc>
          <w:tcPr>
            <w:tcW w:w="2007" w:type="dxa"/>
          </w:tcPr>
          <w:p w:rsidR="0035426F" w:rsidRDefault="0035426F" w:rsidP="006916CE">
            <w:pPr>
              <w:pStyle w:val="TableTextSmall"/>
              <w:jc w:val="right"/>
            </w:pPr>
            <w:r w:rsidRPr="00CB463C">
              <w:t>1,053,454</w:t>
            </w:r>
          </w:p>
        </w:tc>
        <w:tc>
          <w:tcPr>
            <w:tcW w:w="2007" w:type="dxa"/>
          </w:tcPr>
          <w:p w:rsidR="0035426F" w:rsidRDefault="0035426F" w:rsidP="006916CE">
            <w:pPr>
              <w:pStyle w:val="TableTextSmall"/>
              <w:jc w:val="right"/>
            </w:pPr>
            <w:r w:rsidRPr="00CB463C">
              <w:t>11,645,875</w:t>
            </w:r>
          </w:p>
        </w:tc>
        <w:tc>
          <w:tcPr>
            <w:tcW w:w="2007" w:type="dxa"/>
          </w:tcPr>
          <w:p w:rsidR="0035426F" w:rsidRDefault="0035426F" w:rsidP="006916CE">
            <w:pPr>
              <w:pStyle w:val="TableTextSmall"/>
              <w:jc w:val="right"/>
            </w:pPr>
            <w:r w:rsidRPr="00CB463C">
              <w:t>1,319,932</w:t>
            </w:r>
          </w:p>
        </w:tc>
        <w:tc>
          <w:tcPr>
            <w:tcW w:w="2007" w:type="dxa"/>
          </w:tcPr>
          <w:p w:rsidR="0035426F" w:rsidRDefault="0035426F" w:rsidP="006916CE">
            <w:pPr>
              <w:pStyle w:val="TableTextSmall"/>
              <w:jc w:val="right"/>
            </w:pPr>
            <w:r w:rsidRPr="00CB463C">
              <w:t>28,417,078</w:t>
            </w:r>
          </w:p>
        </w:tc>
        <w:tc>
          <w:tcPr>
            <w:tcW w:w="2008" w:type="dxa"/>
          </w:tcPr>
          <w:p w:rsidR="0035426F" w:rsidRDefault="0035426F" w:rsidP="006916CE">
            <w:pPr>
              <w:pStyle w:val="TableTextSmall"/>
              <w:jc w:val="right"/>
            </w:pPr>
            <w:r w:rsidRPr="00CB463C">
              <w:t>40,062,953</w:t>
            </w:r>
          </w:p>
        </w:tc>
      </w:tr>
    </w:tbl>
    <w:p w:rsidR="000730FE" w:rsidRPr="00417D11" w:rsidRDefault="000730FE" w:rsidP="006916CE">
      <w:pPr>
        <w:pStyle w:val="Sources"/>
      </w:pPr>
      <w:bookmarkStart w:id="221" w:name="_Ref448311879"/>
      <w:r>
        <w:t>Source: PwC analysis</w:t>
      </w:r>
      <w:r w:rsidRPr="000730FE">
        <w:t xml:space="preserve"> </w:t>
      </w:r>
    </w:p>
    <w:p w:rsidR="000730FE" w:rsidRDefault="000730FE" w:rsidP="00417D11">
      <w:pPr>
        <w:pStyle w:val="Caption"/>
      </w:pPr>
      <w:bookmarkStart w:id="222" w:name="_Ref448314002"/>
      <w:r>
        <w:t xml:space="preserve">Figure </w:t>
      </w:r>
      <w:fldSimple w:instr=" SEQ Figure \* ARABIC ">
        <w:r w:rsidR="00E22E13">
          <w:rPr>
            <w:noProof/>
          </w:rPr>
          <w:t>42</w:t>
        </w:r>
      </w:fldSimple>
      <w:bookmarkEnd w:id="221"/>
      <w:bookmarkEnd w:id="222"/>
      <w:r>
        <w:t>: Greater Melbourne's demand by rock type, 2015</w:t>
      </w:r>
      <w:r w:rsidR="007303D4">
        <w:t xml:space="preserve"> to 20</w:t>
      </w:r>
      <w:r>
        <w:t>50*</w:t>
      </w:r>
    </w:p>
    <w:p w:rsidR="00F72450" w:rsidRDefault="0035426F" w:rsidP="006916CE">
      <w:pPr>
        <w:pStyle w:val="Address"/>
        <w:rPr>
          <w:color w:val="A32020" w:themeColor="accent1"/>
          <w:szCs w:val="16"/>
        </w:rPr>
      </w:pPr>
      <w:r>
        <w:rPr>
          <w:lang w:val="en-AU" w:eastAsia="en-AU"/>
        </w:rPr>
        <w:drawing>
          <wp:inline distT="0" distB="0" distL="0" distR="0" wp14:anchorId="480374F0" wp14:editId="47A9F134">
            <wp:extent cx="7462684" cy="4558137"/>
            <wp:effectExtent l="0" t="0" r="5080" b="0"/>
            <wp:docPr id="314" name="Picture 314" descr="Figure 42 shows demand in Greater Melbourne between 2015 and 2050 by rock type. Demand for hard rock and limestone over double in the period. Sand and sand gravel remains about the same as it was in 2015, and clay and clay shale demand falls. "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467193" cy="4560891"/>
                    </a:xfrm>
                    <a:prstGeom prst="rect">
                      <a:avLst/>
                    </a:prstGeom>
                  </pic:spPr>
                </pic:pic>
              </a:graphicData>
            </a:graphic>
          </wp:inline>
        </w:drawing>
      </w:r>
      <w:r w:rsidR="000730FE">
        <w:br/>
      </w:r>
      <w:r w:rsidR="000730FE" w:rsidRPr="006916CE">
        <w:rPr>
          <w:color w:val="A32020" w:themeColor="accent1"/>
          <w:sz w:val="16"/>
          <w:szCs w:val="16"/>
        </w:rPr>
        <w:t>Source: PwC analysis</w:t>
      </w:r>
      <w:r w:rsidR="002D7A56">
        <w:rPr>
          <w:i w:val="0"/>
          <w:color w:val="A32020" w:themeColor="accent1"/>
          <w:sz w:val="16"/>
          <w:szCs w:val="16"/>
        </w:rPr>
        <w:t xml:space="preserve">. </w:t>
      </w:r>
      <w:r w:rsidR="00F72450">
        <w:rPr>
          <w:i w:val="0"/>
          <w:color w:val="A32020" w:themeColor="accent1"/>
          <w:sz w:val="16"/>
          <w:szCs w:val="16"/>
        </w:rPr>
        <w:t>*</w:t>
      </w:r>
      <w:r w:rsidR="00F72450" w:rsidRPr="006916CE">
        <w:rPr>
          <w:i w:val="0"/>
          <w:color w:val="A32020" w:themeColor="accent1"/>
          <w:sz w:val="16"/>
          <w:szCs w:val="16"/>
        </w:rPr>
        <w:t>The demand study supplier has indicated that steps in the forecast are related to population data and average annual growth rates provided by Government projections used in the forecast approach.</w:t>
      </w:r>
    </w:p>
    <w:p w:rsidR="00F72450" w:rsidRPr="006916CE" w:rsidRDefault="00F72450" w:rsidP="006916CE">
      <w:pPr>
        <w:pStyle w:val="Address"/>
        <w:rPr>
          <w:color w:val="A32020" w:themeColor="accent1"/>
          <w:sz w:val="6"/>
          <w:szCs w:val="16"/>
        </w:rPr>
      </w:pPr>
    </w:p>
    <w:p w:rsidR="00FF3006" w:rsidRDefault="00FF3006" w:rsidP="006916CE">
      <w:r>
        <w:t xml:space="preserve">Although Greater Melbourne demands a lot of resources, it should be noted that there is potential for cross jurisdictional extractive resource supply of this material. </w:t>
      </w:r>
      <w:r w:rsidR="00B53CBB">
        <w:t>R</w:t>
      </w:r>
      <w:r w:rsidR="006D5CAC">
        <w:t xml:space="preserve">esources held in Victorian quarries could </w:t>
      </w:r>
      <w:r w:rsidR="00B53CBB">
        <w:t xml:space="preserve">equally </w:t>
      </w:r>
      <w:r w:rsidR="006D5CAC">
        <w:t xml:space="preserve">be purchased by buyers in neighbouring States. </w:t>
      </w:r>
      <w:r>
        <w:t>Quarries exist on or near the Victoria border</w:t>
      </w:r>
      <w:r w:rsidR="006D5CAC">
        <w:t xml:space="preserve"> that could potentially supply to interstate markets. H</w:t>
      </w:r>
      <w:r>
        <w:t xml:space="preserve">owever, given the demand profile is constructed for Victoria alone and disregards demand from neighbouring States, </w:t>
      </w:r>
      <w:r w:rsidR="006D5CAC">
        <w:t>the analysis has necessarily assumed that</w:t>
      </w:r>
      <w:r w:rsidR="00B53CBB">
        <w:t xml:space="preserve"> </w:t>
      </w:r>
      <w:r w:rsidR="006D5CAC">
        <w:t>no interstate markets are accessed by suppliers</w:t>
      </w:r>
      <w:r w:rsidR="00B53CBB">
        <w:t xml:space="preserve"> and that all demand is satisfied from within Victoria. This is a noted limitation of the study.</w:t>
      </w:r>
    </w:p>
    <w:p w:rsidR="00F72450" w:rsidRPr="00F72450" w:rsidRDefault="00F72450" w:rsidP="006916CE">
      <w:pPr>
        <w:pStyle w:val="Address"/>
      </w:pPr>
    </w:p>
    <w:p w:rsidR="00F72450" w:rsidRDefault="00B15100" w:rsidP="006916CE">
      <w:pPr>
        <w:pStyle w:val="BlockText2Position"/>
        <w:rPr>
          <w:rFonts w:asciiTheme="majorHAnsi" w:hAnsiTheme="majorHAnsi"/>
          <w:i/>
          <w:iCs/>
          <w:color w:val="A32020" w:themeColor="text2"/>
          <w:sz w:val="28"/>
          <w:szCs w:val="28"/>
        </w:rPr>
      </w:pPr>
      <w:r w:rsidRPr="006916CE">
        <w:rPr>
          <w:b/>
          <w:i/>
        </w:rPr>
        <w:t>Locations critical to supporting Greater Melbourne’s future</w:t>
      </w:r>
      <w:r w:rsidRPr="00B15100" w:rsidDel="00726457">
        <w:t xml:space="preserve"> </w:t>
      </w:r>
      <w:r>
        <w:t xml:space="preserve">are those areas </w:t>
      </w:r>
      <w:r w:rsidDel="00B15100">
        <w:t xml:space="preserve">that are </w:t>
      </w:r>
      <w:r>
        <w:t>expected to deliver significant volumes of resource to Greater Melbourne across the analysis period</w:t>
      </w:r>
      <w:r w:rsidR="00F72450">
        <w:t>, 2015 to 2050</w:t>
      </w:r>
      <w:r>
        <w:t xml:space="preserve">. </w:t>
      </w:r>
    </w:p>
    <w:p w:rsidR="0029459C" w:rsidRDefault="0029459C" w:rsidP="006916CE">
      <w:pPr>
        <w:pStyle w:val="Heading7"/>
      </w:pPr>
      <w:r>
        <w:t>Hard rock</w:t>
      </w:r>
    </w:p>
    <w:p w:rsidR="00F72450" w:rsidRDefault="003D04AB" w:rsidP="006916CE">
      <w:pPr>
        <w:pStyle w:val="PwCNormal"/>
      </w:pPr>
      <w:r>
        <w:t>Key locations of hard roc</w:t>
      </w:r>
      <w:r w:rsidRPr="001644FB">
        <w:t xml:space="preserve">k supply are listed </w:t>
      </w:r>
      <w:r w:rsidRPr="002B100D">
        <w:t>in</w:t>
      </w:r>
      <w:r w:rsidR="00D7274D" w:rsidRPr="002B100D">
        <w:t xml:space="preserve"> </w:t>
      </w:r>
      <w:r w:rsidR="00D7274D" w:rsidRPr="009069AC">
        <w:fldChar w:fldCharType="begin"/>
      </w:r>
      <w:r w:rsidR="00D7274D" w:rsidRPr="007303D4">
        <w:instrText xml:space="preserve"> REF _Ref448926777 \h </w:instrText>
      </w:r>
      <w:r w:rsidR="007303D4" w:rsidRPr="00E060CE">
        <w:instrText xml:space="preserve"> \* MERGEFORMAT </w:instrText>
      </w:r>
      <w:r w:rsidR="00D7274D" w:rsidRPr="009069AC">
        <w:fldChar w:fldCharType="separate"/>
      </w:r>
      <w:r w:rsidR="00E22E13" w:rsidRPr="00E22E13">
        <w:t xml:space="preserve">Table </w:t>
      </w:r>
      <w:r w:rsidR="00E22E13" w:rsidRPr="00E22E13">
        <w:rPr>
          <w:noProof/>
        </w:rPr>
        <w:t>19</w:t>
      </w:r>
      <w:r w:rsidR="00D7274D" w:rsidRPr="009069AC">
        <w:fldChar w:fldCharType="end"/>
      </w:r>
      <w:r w:rsidR="00D7274D" w:rsidRPr="00175485">
        <w:t xml:space="preserve">, </w:t>
      </w:r>
      <w:r w:rsidRPr="00175485">
        <w:t>which</w:t>
      </w:r>
      <w:r w:rsidRPr="001644FB">
        <w:t xml:space="preserve"> indicate</w:t>
      </w:r>
      <w:r w:rsidR="002D7A56" w:rsidRPr="001644FB">
        <w:t>s</w:t>
      </w:r>
      <w:r w:rsidRPr="001644FB">
        <w:t xml:space="preserve"> that South Gippsland and the Inner South East region together are expected to deliver over 50 per cent of Greater Melbourne’s hard rock material across 2015</w:t>
      </w:r>
      <w:r w:rsidR="00197B03">
        <w:t xml:space="preserve"> to 20</w:t>
      </w:r>
      <w:r w:rsidRPr="001644FB">
        <w:t>50.</w:t>
      </w:r>
      <w:r w:rsidR="006D5CAC" w:rsidRPr="001644FB">
        <w:t xml:space="preserve"> This is due in part to planned development of new resource deposits in some of these locations in the near term.</w:t>
      </w:r>
      <w:bookmarkStart w:id="223" w:name="_Ref448149954"/>
    </w:p>
    <w:p w:rsidR="0029459C" w:rsidRPr="006916CE" w:rsidRDefault="0029459C" w:rsidP="006916CE">
      <w:pPr>
        <w:pStyle w:val="PwCNormal"/>
        <w:keepNext/>
        <w:rPr>
          <w:b/>
          <w:color w:val="A32020" w:themeColor="text2"/>
        </w:rPr>
      </w:pPr>
      <w:bookmarkStart w:id="224" w:name="_Ref448926777"/>
      <w:r w:rsidRPr="006916CE">
        <w:rPr>
          <w:b/>
          <w:color w:val="A32020" w:themeColor="text2"/>
        </w:rPr>
        <w:t xml:space="preserve">Table </w:t>
      </w:r>
      <w:r w:rsidRPr="006916CE">
        <w:rPr>
          <w:b/>
          <w:color w:val="A32020" w:themeColor="text2"/>
        </w:rPr>
        <w:fldChar w:fldCharType="begin"/>
      </w:r>
      <w:r w:rsidRPr="006916CE">
        <w:rPr>
          <w:b/>
          <w:color w:val="A32020" w:themeColor="text2"/>
        </w:rPr>
        <w:instrText xml:space="preserve"> SEQ Table \* ARABIC </w:instrText>
      </w:r>
      <w:r w:rsidRPr="006916CE">
        <w:rPr>
          <w:b/>
          <w:color w:val="A32020" w:themeColor="text2"/>
        </w:rPr>
        <w:fldChar w:fldCharType="separate"/>
      </w:r>
      <w:r w:rsidR="00E22E13">
        <w:rPr>
          <w:b/>
          <w:noProof/>
          <w:color w:val="A32020" w:themeColor="text2"/>
        </w:rPr>
        <w:t>19</w:t>
      </w:r>
      <w:r w:rsidRPr="006916CE">
        <w:rPr>
          <w:b/>
          <w:color w:val="A32020" w:themeColor="text2"/>
        </w:rPr>
        <w:fldChar w:fldCharType="end"/>
      </w:r>
      <w:bookmarkEnd w:id="223"/>
      <w:bookmarkEnd w:id="224"/>
      <w:r w:rsidR="00916022" w:rsidRPr="006916CE">
        <w:rPr>
          <w:b/>
          <w:color w:val="A32020" w:themeColor="text2"/>
        </w:rPr>
        <w:t>: Criterion 4</w:t>
      </w:r>
      <w:r w:rsidRPr="006916CE">
        <w:rPr>
          <w:b/>
          <w:color w:val="A32020" w:themeColor="text2"/>
        </w:rPr>
        <w:t xml:space="preserve"> – Key supply locations to Greater Melbourne: Hard rock</w:t>
      </w:r>
    </w:p>
    <w:tbl>
      <w:tblPr>
        <w:tblStyle w:val="Tables-APBase"/>
        <w:tblW w:w="0" w:type="auto"/>
        <w:tblLook w:val="04A0" w:firstRow="1" w:lastRow="0" w:firstColumn="1" w:lastColumn="0" w:noHBand="0" w:noVBand="1"/>
        <w:tblCaption w:val="Table 19 "/>
        <w:tblDescription w:val="Table 19 shows criterion 4 - key supply locations to Greater Melbourne for hard rock.  They are, in descending order, South Gippsland, Inner South East (comprising Bass Coast, Cardinia, Casey, Frankston, Knox, Mornington Peninsula, Whitehorse and Yarra Ranges), Wyndham, Mitchell, Melton, Whittlesea, Central West (Comprising Ararat, Northern Grampians and the Pyrenees), Hume, Greater Geelong, Outer North (comprising Campaspe, Greater Bendigo, Greater Shepparton and Strathbogie), Moira, Baw Baw, Indigo, Central North East (comprising Mansfield and Murrindindi), and Moorabool.&#10;&#10;"/>
      </w:tblPr>
      <w:tblGrid>
        <w:gridCol w:w="2348"/>
        <w:gridCol w:w="4820"/>
        <w:gridCol w:w="1701"/>
        <w:gridCol w:w="1701"/>
        <w:gridCol w:w="1701"/>
        <w:gridCol w:w="1779"/>
      </w:tblGrid>
      <w:tr w:rsidR="00AA7F69"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48" w:type="dxa"/>
          </w:tcPr>
          <w:p w:rsidR="00AA7F69" w:rsidRDefault="00AA7F69" w:rsidP="006916CE">
            <w:pPr>
              <w:pStyle w:val="TableColumnHeadingSmall"/>
            </w:pPr>
            <w:r w:rsidRPr="007F5A49">
              <w:t>Region name</w:t>
            </w:r>
          </w:p>
        </w:tc>
        <w:tc>
          <w:tcPr>
            <w:tcW w:w="4820" w:type="dxa"/>
          </w:tcPr>
          <w:p w:rsidR="00AA7F69" w:rsidRDefault="00AA7F69" w:rsidP="006916CE">
            <w:pPr>
              <w:pStyle w:val="TableColumnHeadingSmall"/>
              <w:cnfStyle w:val="100000000000" w:firstRow="1" w:lastRow="0" w:firstColumn="0" w:lastColumn="0" w:oddVBand="0" w:evenVBand="0" w:oddHBand="0" w:evenHBand="0" w:firstRowFirstColumn="0" w:firstRowLastColumn="0" w:lastRowFirstColumn="0" w:lastRowLastColumn="0"/>
            </w:pPr>
            <w:r w:rsidRPr="007F5A49">
              <w:t>LGAs in region</w:t>
            </w:r>
          </w:p>
        </w:tc>
        <w:tc>
          <w:tcPr>
            <w:tcW w:w="1701" w:type="dxa"/>
          </w:tcPr>
          <w:p w:rsidR="00AA7F69" w:rsidRDefault="00AA7F69"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25</w:t>
            </w:r>
            <w:r w:rsidR="00295884">
              <w:t xml:space="preserve"> (tonnes)</w:t>
            </w:r>
          </w:p>
        </w:tc>
        <w:tc>
          <w:tcPr>
            <w:tcW w:w="1701" w:type="dxa"/>
          </w:tcPr>
          <w:p w:rsidR="00AA7F69" w:rsidRDefault="00AA7F69"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2026</w:t>
            </w:r>
            <w:r w:rsidR="00197B03">
              <w:t xml:space="preserve"> to 20</w:t>
            </w:r>
            <w:r w:rsidRPr="007F5A49">
              <w:t>50</w:t>
            </w:r>
            <w:r w:rsidR="00295884">
              <w:t xml:space="preserve"> (tonnes)</w:t>
            </w:r>
          </w:p>
        </w:tc>
        <w:tc>
          <w:tcPr>
            <w:tcW w:w="1701" w:type="dxa"/>
          </w:tcPr>
          <w:p w:rsidR="00AA7F69" w:rsidRDefault="00AA7F69"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50</w:t>
            </w:r>
            <w:r w:rsidR="00295884">
              <w:t xml:space="preserve"> (tonnes)</w:t>
            </w:r>
          </w:p>
        </w:tc>
        <w:tc>
          <w:tcPr>
            <w:tcW w:w="1779"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 of total supply to Greater Melbourne, 2015</w:t>
            </w:r>
            <w:r w:rsidR="00197B03">
              <w:t xml:space="preserve"> to 20</w:t>
            </w:r>
            <w:r w:rsidRPr="007F5A49">
              <w:t>50</w:t>
            </w:r>
          </w:p>
        </w:tc>
      </w:tr>
      <w:tr w:rsidR="00AA7F69" w:rsidTr="006916CE">
        <w:tc>
          <w:tcPr>
            <w:tcW w:w="2348" w:type="dxa"/>
            <w:vAlign w:val="center"/>
          </w:tcPr>
          <w:p w:rsidR="00AA7F69" w:rsidRDefault="00AA7F69" w:rsidP="006916CE">
            <w:pPr>
              <w:pStyle w:val="TableTextSmall"/>
              <w:keepNext/>
            </w:pPr>
            <w:r w:rsidRPr="007F5A49">
              <w:t>South Gippsland (S)</w:t>
            </w:r>
          </w:p>
        </w:tc>
        <w:tc>
          <w:tcPr>
            <w:tcW w:w="4820" w:type="dxa"/>
            <w:vAlign w:val="center"/>
          </w:tcPr>
          <w:p w:rsidR="00AA7F69" w:rsidRDefault="00AA7F69" w:rsidP="006916CE">
            <w:pPr>
              <w:pStyle w:val="TableTextSmall"/>
              <w:keepNext/>
            </w:pPr>
            <w:r w:rsidRPr="007F5A49">
              <w:t>South Gippsland (S)</w:t>
            </w:r>
          </w:p>
        </w:tc>
        <w:tc>
          <w:tcPr>
            <w:tcW w:w="1701" w:type="dxa"/>
            <w:vAlign w:val="center"/>
          </w:tcPr>
          <w:p w:rsidR="00AA7F69" w:rsidRDefault="00AA7F69" w:rsidP="006916CE">
            <w:pPr>
              <w:pStyle w:val="TableTextSmall"/>
              <w:keepNext/>
              <w:jc w:val="right"/>
            </w:pPr>
            <w:r w:rsidRPr="007F5A49">
              <w:t xml:space="preserve"> 58,348,438 </w:t>
            </w:r>
          </w:p>
        </w:tc>
        <w:tc>
          <w:tcPr>
            <w:tcW w:w="1701" w:type="dxa"/>
            <w:vAlign w:val="center"/>
          </w:tcPr>
          <w:p w:rsidR="00AA7F69" w:rsidRDefault="00AA7F69" w:rsidP="006916CE">
            <w:pPr>
              <w:pStyle w:val="TableTextSmall"/>
              <w:keepNext/>
              <w:jc w:val="right"/>
            </w:pPr>
            <w:r w:rsidRPr="007F5A49">
              <w:t xml:space="preserve"> 212,601,595 </w:t>
            </w:r>
          </w:p>
        </w:tc>
        <w:tc>
          <w:tcPr>
            <w:tcW w:w="1701" w:type="dxa"/>
            <w:vAlign w:val="center"/>
          </w:tcPr>
          <w:p w:rsidR="00AA7F69" w:rsidRDefault="00AA7F69" w:rsidP="006916CE">
            <w:pPr>
              <w:pStyle w:val="TableTextSmall"/>
              <w:keepNext/>
              <w:jc w:val="right"/>
            </w:pPr>
            <w:r w:rsidRPr="007F5A49">
              <w:t xml:space="preserve"> 270,950,032 </w:t>
            </w:r>
          </w:p>
        </w:tc>
        <w:tc>
          <w:tcPr>
            <w:tcW w:w="1779" w:type="dxa"/>
            <w:vAlign w:val="center"/>
          </w:tcPr>
          <w:p w:rsidR="00AA7F69" w:rsidRDefault="00AA7F69" w:rsidP="006916CE">
            <w:pPr>
              <w:pStyle w:val="TableTextSmall"/>
              <w:keepNext/>
              <w:jc w:val="right"/>
            </w:pPr>
            <w:r w:rsidRPr="007F5A49">
              <w:t xml:space="preserve"> 34 </w:t>
            </w:r>
          </w:p>
        </w:tc>
      </w:tr>
      <w:tr w:rsidR="00AA7F69" w:rsidTr="006916CE">
        <w:tc>
          <w:tcPr>
            <w:tcW w:w="2348" w:type="dxa"/>
            <w:vAlign w:val="center"/>
          </w:tcPr>
          <w:p w:rsidR="00AA7F69" w:rsidRDefault="00AA7F69" w:rsidP="006916CE">
            <w:pPr>
              <w:pStyle w:val="TableTextSmall"/>
              <w:keepNext/>
            </w:pPr>
            <w:r w:rsidRPr="007F5A49">
              <w:t>Inner South East</w:t>
            </w:r>
          </w:p>
        </w:tc>
        <w:tc>
          <w:tcPr>
            <w:tcW w:w="4820" w:type="dxa"/>
            <w:vAlign w:val="center"/>
          </w:tcPr>
          <w:p w:rsidR="00AA7F69" w:rsidRDefault="00AA7F69" w:rsidP="006916CE">
            <w:pPr>
              <w:pStyle w:val="TableTextSmall"/>
              <w:keepNext/>
            </w:pPr>
            <w:r w:rsidRPr="007F5A49">
              <w:t>Bass Coast (S),Cardinia (S),Casey (C),Frankston (C),Knox (C),Mornington Peninsula (S),Whitehorse (C),Yarra Ranges (S)</w:t>
            </w:r>
          </w:p>
        </w:tc>
        <w:tc>
          <w:tcPr>
            <w:tcW w:w="1701" w:type="dxa"/>
            <w:vAlign w:val="center"/>
          </w:tcPr>
          <w:p w:rsidR="00AA7F69" w:rsidRDefault="00AA7F69" w:rsidP="006916CE">
            <w:pPr>
              <w:pStyle w:val="TableTextSmall"/>
              <w:keepNext/>
              <w:jc w:val="right"/>
            </w:pPr>
            <w:r w:rsidRPr="007F5A49">
              <w:t xml:space="preserve"> 43,114,947 </w:t>
            </w:r>
          </w:p>
        </w:tc>
        <w:tc>
          <w:tcPr>
            <w:tcW w:w="1701" w:type="dxa"/>
            <w:vAlign w:val="center"/>
          </w:tcPr>
          <w:p w:rsidR="00AA7F69" w:rsidRDefault="00AA7F69" w:rsidP="006916CE">
            <w:pPr>
              <w:pStyle w:val="TableTextSmall"/>
              <w:keepNext/>
              <w:jc w:val="right"/>
            </w:pPr>
            <w:r w:rsidRPr="007F5A49">
              <w:t xml:space="preserve"> 124,172,781 </w:t>
            </w:r>
          </w:p>
        </w:tc>
        <w:tc>
          <w:tcPr>
            <w:tcW w:w="1701" w:type="dxa"/>
            <w:vAlign w:val="center"/>
          </w:tcPr>
          <w:p w:rsidR="00AA7F69" w:rsidRDefault="00AA7F69" w:rsidP="006916CE">
            <w:pPr>
              <w:pStyle w:val="TableTextSmall"/>
              <w:keepNext/>
              <w:jc w:val="right"/>
            </w:pPr>
            <w:r w:rsidRPr="007F5A49">
              <w:t xml:space="preserve"> 167,287,728 </w:t>
            </w:r>
          </w:p>
        </w:tc>
        <w:tc>
          <w:tcPr>
            <w:tcW w:w="1779" w:type="dxa"/>
            <w:vAlign w:val="center"/>
          </w:tcPr>
          <w:p w:rsidR="00AA7F69" w:rsidRDefault="00AA7F69" w:rsidP="006916CE">
            <w:pPr>
              <w:pStyle w:val="TableTextSmall"/>
              <w:keepNext/>
              <w:jc w:val="right"/>
            </w:pPr>
            <w:r w:rsidRPr="007F5A49">
              <w:t xml:space="preserve"> 21 </w:t>
            </w:r>
          </w:p>
        </w:tc>
      </w:tr>
      <w:tr w:rsidR="00AA7F69" w:rsidTr="006916CE">
        <w:tc>
          <w:tcPr>
            <w:tcW w:w="2348" w:type="dxa"/>
            <w:vAlign w:val="center"/>
          </w:tcPr>
          <w:p w:rsidR="00AA7F69" w:rsidRDefault="00AA7F69" w:rsidP="006916CE">
            <w:pPr>
              <w:pStyle w:val="TableTextSmall"/>
              <w:keepNext/>
            </w:pPr>
            <w:r w:rsidRPr="007F5A49">
              <w:t>Wyndham (C)</w:t>
            </w:r>
          </w:p>
        </w:tc>
        <w:tc>
          <w:tcPr>
            <w:tcW w:w="4820" w:type="dxa"/>
            <w:vAlign w:val="center"/>
          </w:tcPr>
          <w:p w:rsidR="00AA7F69" w:rsidRDefault="00AA7F69" w:rsidP="006916CE">
            <w:pPr>
              <w:pStyle w:val="TableTextSmall"/>
              <w:keepNext/>
            </w:pPr>
            <w:r w:rsidRPr="007F5A49">
              <w:t>Wyndham (C)</w:t>
            </w:r>
          </w:p>
        </w:tc>
        <w:tc>
          <w:tcPr>
            <w:tcW w:w="1701" w:type="dxa"/>
            <w:vAlign w:val="center"/>
          </w:tcPr>
          <w:p w:rsidR="00AA7F69" w:rsidRDefault="00AA7F69" w:rsidP="006916CE">
            <w:pPr>
              <w:pStyle w:val="TableTextSmall"/>
              <w:keepNext/>
              <w:jc w:val="right"/>
            </w:pPr>
            <w:r w:rsidRPr="007F5A49">
              <w:t xml:space="preserve"> 18,489,400 </w:t>
            </w:r>
          </w:p>
        </w:tc>
        <w:tc>
          <w:tcPr>
            <w:tcW w:w="1701" w:type="dxa"/>
            <w:vAlign w:val="center"/>
          </w:tcPr>
          <w:p w:rsidR="00AA7F69" w:rsidRDefault="00AA7F69" w:rsidP="006916CE">
            <w:pPr>
              <w:pStyle w:val="TableTextSmall"/>
              <w:keepNext/>
              <w:jc w:val="right"/>
            </w:pPr>
            <w:r w:rsidRPr="007F5A49">
              <w:t xml:space="preserve"> 30,283,542 </w:t>
            </w:r>
          </w:p>
        </w:tc>
        <w:tc>
          <w:tcPr>
            <w:tcW w:w="1701" w:type="dxa"/>
            <w:vAlign w:val="center"/>
          </w:tcPr>
          <w:p w:rsidR="00AA7F69" w:rsidRDefault="00AA7F69" w:rsidP="006916CE">
            <w:pPr>
              <w:pStyle w:val="TableTextSmall"/>
              <w:keepNext/>
              <w:jc w:val="right"/>
            </w:pPr>
            <w:r w:rsidRPr="007F5A49">
              <w:t xml:space="preserve"> 48,772,943 </w:t>
            </w:r>
          </w:p>
        </w:tc>
        <w:tc>
          <w:tcPr>
            <w:tcW w:w="1779" w:type="dxa"/>
            <w:vAlign w:val="center"/>
          </w:tcPr>
          <w:p w:rsidR="00AA7F69" w:rsidRDefault="00AA7F69" w:rsidP="006916CE">
            <w:pPr>
              <w:pStyle w:val="TableTextSmall"/>
              <w:keepNext/>
              <w:jc w:val="right"/>
            </w:pPr>
            <w:r w:rsidRPr="007F5A49">
              <w:t xml:space="preserve"> 6 </w:t>
            </w:r>
          </w:p>
        </w:tc>
      </w:tr>
      <w:tr w:rsidR="00AA7F69" w:rsidTr="006916CE">
        <w:tc>
          <w:tcPr>
            <w:tcW w:w="2348" w:type="dxa"/>
            <w:vAlign w:val="center"/>
          </w:tcPr>
          <w:p w:rsidR="00AA7F69" w:rsidRDefault="00AA7F69" w:rsidP="006916CE">
            <w:pPr>
              <w:pStyle w:val="TableTextSmall"/>
              <w:keepNext/>
            </w:pPr>
            <w:r w:rsidRPr="007F5A49">
              <w:t>Mitchell (S)</w:t>
            </w:r>
          </w:p>
        </w:tc>
        <w:tc>
          <w:tcPr>
            <w:tcW w:w="4820" w:type="dxa"/>
            <w:vAlign w:val="center"/>
          </w:tcPr>
          <w:p w:rsidR="00AA7F69" w:rsidRDefault="00AA7F69" w:rsidP="006916CE">
            <w:pPr>
              <w:pStyle w:val="TableTextSmall"/>
              <w:keepNext/>
            </w:pPr>
            <w:r w:rsidRPr="007F5A49">
              <w:t>Mitchell (S)</w:t>
            </w:r>
          </w:p>
        </w:tc>
        <w:tc>
          <w:tcPr>
            <w:tcW w:w="1701" w:type="dxa"/>
            <w:vAlign w:val="center"/>
          </w:tcPr>
          <w:p w:rsidR="00AA7F69" w:rsidRDefault="00AA7F69" w:rsidP="006916CE">
            <w:pPr>
              <w:pStyle w:val="TableTextSmall"/>
              <w:keepNext/>
              <w:jc w:val="right"/>
            </w:pPr>
            <w:r w:rsidRPr="007F5A49">
              <w:t xml:space="preserve"> 8,442,290 </w:t>
            </w:r>
          </w:p>
        </w:tc>
        <w:tc>
          <w:tcPr>
            <w:tcW w:w="1701" w:type="dxa"/>
            <w:vAlign w:val="center"/>
          </w:tcPr>
          <w:p w:rsidR="00AA7F69" w:rsidRDefault="00AA7F69" w:rsidP="006916CE">
            <w:pPr>
              <w:pStyle w:val="TableTextSmall"/>
              <w:keepNext/>
              <w:jc w:val="right"/>
            </w:pPr>
            <w:r w:rsidRPr="007F5A49">
              <w:t xml:space="preserve"> 30,695,295 </w:t>
            </w:r>
          </w:p>
        </w:tc>
        <w:tc>
          <w:tcPr>
            <w:tcW w:w="1701" w:type="dxa"/>
            <w:vAlign w:val="center"/>
          </w:tcPr>
          <w:p w:rsidR="00AA7F69" w:rsidRDefault="00AA7F69" w:rsidP="006916CE">
            <w:pPr>
              <w:pStyle w:val="TableTextSmall"/>
              <w:keepNext/>
              <w:jc w:val="right"/>
            </w:pPr>
            <w:r w:rsidRPr="007F5A49">
              <w:t xml:space="preserve"> 39,137,585 </w:t>
            </w:r>
          </w:p>
        </w:tc>
        <w:tc>
          <w:tcPr>
            <w:tcW w:w="1779" w:type="dxa"/>
            <w:vAlign w:val="center"/>
          </w:tcPr>
          <w:p w:rsidR="00AA7F69" w:rsidRDefault="00AA7F69" w:rsidP="006916CE">
            <w:pPr>
              <w:pStyle w:val="TableTextSmall"/>
              <w:keepNext/>
              <w:jc w:val="right"/>
            </w:pPr>
            <w:r w:rsidRPr="007F5A49">
              <w:t xml:space="preserve"> 5 </w:t>
            </w:r>
          </w:p>
        </w:tc>
      </w:tr>
      <w:tr w:rsidR="00AA7F69" w:rsidTr="006916CE">
        <w:tc>
          <w:tcPr>
            <w:tcW w:w="2348" w:type="dxa"/>
            <w:vAlign w:val="center"/>
          </w:tcPr>
          <w:p w:rsidR="00AA7F69" w:rsidRDefault="00AA7F69" w:rsidP="006916CE">
            <w:pPr>
              <w:pStyle w:val="TableTextSmall"/>
              <w:keepNext/>
            </w:pPr>
            <w:r w:rsidRPr="007F5A49">
              <w:t>Melton (S)</w:t>
            </w:r>
          </w:p>
        </w:tc>
        <w:tc>
          <w:tcPr>
            <w:tcW w:w="4820" w:type="dxa"/>
            <w:vAlign w:val="center"/>
          </w:tcPr>
          <w:p w:rsidR="00AA7F69" w:rsidRDefault="00AA7F69" w:rsidP="006916CE">
            <w:pPr>
              <w:pStyle w:val="TableTextSmall"/>
              <w:keepNext/>
            </w:pPr>
            <w:r w:rsidRPr="007F5A49">
              <w:t>Melton (S)</w:t>
            </w:r>
          </w:p>
        </w:tc>
        <w:tc>
          <w:tcPr>
            <w:tcW w:w="1701" w:type="dxa"/>
            <w:vAlign w:val="center"/>
          </w:tcPr>
          <w:p w:rsidR="00AA7F69" w:rsidRDefault="00AA7F69" w:rsidP="006916CE">
            <w:pPr>
              <w:pStyle w:val="TableTextSmall"/>
              <w:keepNext/>
              <w:jc w:val="right"/>
            </w:pPr>
            <w:r w:rsidRPr="007F5A49">
              <w:t xml:space="preserve"> 10,349,185 </w:t>
            </w:r>
          </w:p>
        </w:tc>
        <w:tc>
          <w:tcPr>
            <w:tcW w:w="1701" w:type="dxa"/>
            <w:vAlign w:val="center"/>
          </w:tcPr>
          <w:p w:rsidR="00AA7F69" w:rsidRDefault="00AA7F69" w:rsidP="006916CE">
            <w:pPr>
              <w:pStyle w:val="TableTextSmall"/>
              <w:keepNext/>
              <w:jc w:val="right"/>
            </w:pPr>
            <w:r w:rsidRPr="007F5A49">
              <w:t xml:space="preserve"> 24,728,624 </w:t>
            </w:r>
          </w:p>
        </w:tc>
        <w:tc>
          <w:tcPr>
            <w:tcW w:w="1701" w:type="dxa"/>
            <w:vAlign w:val="center"/>
          </w:tcPr>
          <w:p w:rsidR="00AA7F69" w:rsidRDefault="00AA7F69" w:rsidP="006916CE">
            <w:pPr>
              <w:pStyle w:val="TableTextSmall"/>
              <w:keepNext/>
              <w:jc w:val="right"/>
            </w:pPr>
            <w:r w:rsidRPr="007F5A49">
              <w:t xml:space="preserve"> 35,077,810 </w:t>
            </w:r>
          </w:p>
        </w:tc>
        <w:tc>
          <w:tcPr>
            <w:tcW w:w="1779" w:type="dxa"/>
            <w:vAlign w:val="center"/>
          </w:tcPr>
          <w:p w:rsidR="00AA7F69" w:rsidRDefault="00AA7F69" w:rsidP="006916CE">
            <w:pPr>
              <w:pStyle w:val="TableTextSmall"/>
              <w:keepNext/>
              <w:jc w:val="right"/>
            </w:pPr>
            <w:r w:rsidRPr="007F5A49">
              <w:t xml:space="preserve"> 4 </w:t>
            </w:r>
          </w:p>
        </w:tc>
      </w:tr>
      <w:tr w:rsidR="00AA7F69" w:rsidTr="006916CE">
        <w:tc>
          <w:tcPr>
            <w:tcW w:w="2348" w:type="dxa"/>
            <w:vAlign w:val="center"/>
          </w:tcPr>
          <w:p w:rsidR="00AA7F69" w:rsidRDefault="00AA7F69" w:rsidP="006916CE">
            <w:pPr>
              <w:pStyle w:val="TableTextSmall"/>
              <w:keepNext/>
            </w:pPr>
            <w:r w:rsidRPr="007F5A49">
              <w:t>Whittlesea (C)</w:t>
            </w:r>
          </w:p>
        </w:tc>
        <w:tc>
          <w:tcPr>
            <w:tcW w:w="4820" w:type="dxa"/>
            <w:vAlign w:val="center"/>
          </w:tcPr>
          <w:p w:rsidR="00AA7F69" w:rsidRDefault="00AA7F69" w:rsidP="006916CE">
            <w:pPr>
              <w:pStyle w:val="TableTextSmall"/>
              <w:keepNext/>
            </w:pPr>
            <w:r w:rsidRPr="007F5A49">
              <w:t>Whittlesea (C)</w:t>
            </w:r>
          </w:p>
        </w:tc>
        <w:tc>
          <w:tcPr>
            <w:tcW w:w="1701" w:type="dxa"/>
            <w:vAlign w:val="center"/>
          </w:tcPr>
          <w:p w:rsidR="00AA7F69" w:rsidRDefault="00AA7F69" w:rsidP="006916CE">
            <w:pPr>
              <w:pStyle w:val="TableTextSmall"/>
              <w:keepNext/>
              <w:jc w:val="right"/>
            </w:pPr>
            <w:r w:rsidRPr="007F5A49">
              <w:t xml:space="preserve"> 12,381,381 </w:t>
            </w:r>
          </w:p>
        </w:tc>
        <w:tc>
          <w:tcPr>
            <w:tcW w:w="1701" w:type="dxa"/>
            <w:vAlign w:val="center"/>
          </w:tcPr>
          <w:p w:rsidR="00AA7F69" w:rsidRDefault="00AA7F69" w:rsidP="006916CE">
            <w:pPr>
              <w:pStyle w:val="TableTextSmall"/>
              <w:keepNext/>
              <w:jc w:val="right"/>
            </w:pPr>
            <w:r w:rsidRPr="007F5A49">
              <w:t xml:space="preserve"> 22,477,747 </w:t>
            </w:r>
          </w:p>
        </w:tc>
        <w:tc>
          <w:tcPr>
            <w:tcW w:w="1701" w:type="dxa"/>
            <w:vAlign w:val="center"/>
          </w:tcPr>
          <w:p w:rsidR="00AA7F69" w:rsidRDefault="00AA7F69" w:rsidP="006916CE">
            <w:pPr>
              <w:pStyle w:val="TableTextSmall"/>
              <w:keepNext/>
              <w:jc w:val="right"/>
            </w:pPr>
            <w:r w:rsidRPr="007F5A49">
              <w:t xml:space="preserve"> 34,859,129 </w:t>
            </w:r>
          </w:p>
        </w:tc>
        <w:tc>
          <w:tcPr>
            <w:tcW w:w="1779" w:type="dxa"/>
            <w:vAlign w:val="center"/>
          </w:tcPr>
          <w:p w:rsidR="00AA7F69" w:rsidRDefault="00AA7F69" w:rsidP="006916CE">
            <w:pPr>
              <w:pStyle w:val="TableTextSmall"/>
              <w:keepNext/>
              <w:jc w:val="right"/>
            </w:pPr>
            <w:r w:rsidRPr="007F5A49">
              <w:t xml:space="preserve"> 4 </w:t>
            </w:r>
          </w:p>
        </w:tc>
      </w:tr>
      <w:tr w:rsidR="00AA7F69" w:rsidTr="006916CE">
        <w:tc>
          <w:tcPr>
            <w:tcW w:w="2348" w:type="dxa"/>
            <w:vAlign w:val="center"/>
          </w:tcPr>
          <w:p w:rsidR="00AA7F69" w:rsidRDefault="00AA7F69" w:rsidP="006916CE">
            <w:pPr>
              <w:pStyle w:val="TableTextSmall"/>
              <w:keepNext/>
            </w:pPr>
            <w:r w:rsidRPr="007F5A49">
              <w:t>Central West</w:t>
            </w:r>
          </w:p>
        </w:tc>
        <w:tc>
          <w:tcPr>
            <w:tcW w:w="4820" w:type="dxa"/>
            <w:vAlign w:val="center"/>
          </w:tcPr>
          <w:p w:rsidR="00AA7F69" w:rsidRDefault="00AA7F69" w:rsidP="006916CE">
            <w:pPr>
              <w:pStyle w:val="TableTextSmall"/>
              <w:keepNext/>
            </w:pPr>
            <w:r w:rsidRPr="007F5A49">
              <w:t>Ararat (RC),Northern Grampians (S),Pyrenees (S)</w:t>
            </w:r>
          </w:p>
        </w:tc>
        <w:tc>
          <w:tcPr>
            <w:tcW w:w="1701" w:type="dxa"/>
            <w:vAlign w:val="center"/>
          </w:tcPr>
          <w:p w:rsidR="00AA7F69" w:rsidRDefault="00AA7F69" w:rsidP="006916CE">
            <w:pPr>
              <w:pStyle w:val="TableTextSmall"/>
              <w:keepNext/>
              <w:jc w:val="right"/>
            </w:pPr>
            <w:r w:rsidRPr="007F5A49">
              <w:t xml:space="preserve"> 6,831,928 </w:t>
            </w:r>
          </w:p>
        </w:tc>
        <w:tc>
          <w:tcPr>
            <w:tcW w:w="1701" w:type="dxa"/>
            <w:vAlign w:val="center"/>
          </w:tcPr>
          <w:p w:rsidR="00AA7F69" w:rsidRDefault="00AA7F69" w:rsidP="006916CE">
            <w:pPr>
              <w:pStyle w:val="TableTextSmall"/>
              <w:keepNext/>
              <w:jc w:val="right"/>
            </w:pPr>
            <w:r w:rsidRPr="007F5A49">
              <w:t xml:space="preserve"> 19,199,738 </w:t>
            </w:r>
          </w:p>
        </w:tc>
        <w:tc>
          <w:tcPr>
            <w:tcW w:w="1701" w:type="dxa"/>
            <w:vAlign w:val="center"/>
          </w:tcPr>
          <w:p w:rsidR="00AA7F69" w:rsidRDefault="00AA7F69" w:rsidP="006916CE">
            <w:pPr>
              <w:pStyle w:val="TableTextSmall"/>
              <w:keepNext/>
              <w:jc w:val="right"/>
            </w:pPr>
            <w:r w:rsidRPr="007F5A49">
              <w:t xml:space="preserve"> 26,031,666 </w:t>
            </w:r>
          </w:p>
        </w:tc>
        <w:tc>
          <w:tcPr>
            <w:tcW w:w="1779" w:type="dxa"/>
            <w:vAlign w:val="center"/>
          </w:tcPr>
          <w:p w:rsidR="00AA7F69" w:rsidRDefault="00AA7F69" w:rsidP="006916CE">
            <w:pPr>
              <w:pStyle w:val="TableTextSmall"/>
              <w:keepNext/>
              <w:jc w:val="right"/>
            </w:pPr>
            <w:r w:rsidRPr="007F5A49">
              <w:t xml:space="preserve"> 3 </w:t>
            </w:r>
          </w:p>
        </w:tc>
      </w:tr>
      <w:tr w:rsidR="00AA7F69" w:rsidTr="006916CE">
        <w:tc>
          <w:tcPr>
            <w:tcW w:w="2348" w:type="dxa"/>
            <w:vAlign w:val="center"/>
          </w:tcPr>
          <w:p w:rsidR="00AA7F69" w:rsidRDefault="00AA7F69" w:rsidP="006916CE">
            <w:pPr>
              <w:pStyle w:val="TableTextSmall"/>
              <w:keepNext/>
            </w:pPr>
            <w:r w:rsidRPr="007F5A49">
              <w:t>Hume (C)</w:t>
            </w:r>
          </w:p>
        </w:tc>
        <w:tc>
          <w:tcPr>
            <w:tcW w:w="4820" w:type="dxa"/>
            <w:vAlign w:val="center"/>
          </w:tcPr>
          <w:p w:rsidR="00AA7F69" w:rsidRDefault="00AA7F69" w:rsidP="006916CE">
            <w:pPr>
              <w:pStyle w:val="TableTextSmall"/>
              <w:keepNext/>
            </w:pPr>
            <w:r w:rsidRPr="007F5A49">
              <w:t>Hume (C)</w:t>
            </w:r>
          </w:p>
        </w:tc>
        <w:tc>
          <w:tcPr>
            <w:tcW w:w="1701" w:type="dxa"/>
            <w:vAlign w:val="center"/>
          </w:tcPr>
          <w:p w:rsidR="00AA7F69" w:rsidRDefault="00AA7F69" w:rsidP="006916CE">
            <w:pPr>
              <w:pStyle w:val="TableTextSmall"/>
              <w:keepNext/>
              <w:jc w:val="right"/>
            </w:pPr>
            <w:r w:rsidRPr="007F5A49">
              <w:t xml:space="preserve"> 8,566,339 </w:t>
            </w:r>
          </w:p>
        </w:tc>
        <w:tc>
          <w:tcPr>
            <w:tcW w:w="1701" w:type="dxa"/>
            <w:vAlign w:val="center"/>
          </w:tcPr>
          <w:p w:rsidR="00AA7F69" w:rsidRDefault="00AA7F69" w:rsidP="006916CE">
            <w:pPr>
              <w:pStyle w:val="TableTextSmall"/>
              <w:keepNext/>
              <w:jc w:val="right"/>
            </w:pPr>
            <w:r w:rsidRPr="007F5A49">
              <w:t xml:space="preserve"> 15,433,092 </w:t>
            </w:r>
          </w:p>
        </w:tc>
        <w:tc>
          <w:tcPr>
            <w:tcW w:w="1701" w:type="dxa"/>
            <w:vAlign w:val="center"/>
          </w:tcPr>
          <w:p w:rsidR="00AA7F69" w:rsidRDefault="00AA7F69" w:rsidP="006916CE">
            <w:pPr>
              <w:pStyle w:val="TableTextSmall"/>
              <w:keepNext/>
              <w:jc w:val="right"/>
            </w:pPr>
            <w:r w:rsidRPr="007F5A49">
              <w:t xml:space="preserve"> 23,999,431 </w:t>
            </w:r>
          </w:p>
        </w:tc>
        <w:tc>
          <w:tcPr>
            <w:tcW w:w="1779" w:type="dxa"/>
            <w:vAlign w:val="center"/>
          </w:tcPr>
          <w:p w:rsidR="00AA7F69" w:rsidRDefault="00AA7F69" w:rsidP="006916CE">
            <w:pPr>
              <w:pStyle w:val="TableTextSmall"/>
              <w:keepNext/>
              <w:jc w:val="right"/>
            </w:pPr>
            <w:r w:rsidRPr="007F5A49">
              <w:t xml:space="preserve"> 3 </w:t>
            </w:r>
          </w:p>
        </w:tc>
      </w:tr>
      <w:tr w:rsidR="00AA7F69" w:rsidTr="006916CE">
        <w:tc>
          <w:tcPr>
            <w:tcW w:w="2348" w:type="dxa"/>
            <w:vAlign w:val="center"/>
          </w:tcPr>
          <w:p w:rsidR="00AA7F69" w:rsidRDefault="00AA7F69" w:rsidP="006916CE">
            <w:pPr>
              <w:pStyle w:val="TableTextSmall"/>
              <w:keepNext/>
            </w:pPr>
            <w:r w:rsidRPr="007F5A49">
              <w:t>Greater Geelong (C)</w:t>
            </w:r>
          </w:p>
        </w:tc>
        <w:tc>
          <w:tcPr>
            <w:tcW w:w="4820" w:type="dxa"/>
            <w:vAlign w:val="center"/>
          </w:tcPr>
          <w:p w:rsidR="00AA7F69" w:rsidRDefault="00AA7F69" w:rsidP="006916CE">
            <w:pPr>
              <w:pStyle w:val="TableTextSmall"/>
              <w:keepNext/>
            </w:pPr>
            <w:r w:rsidRPr="007F5A49">
              <w:t>Greater Geelong (C)</w:t>
            </w:r>
          </w:p>
        </w:tc>
        <w:tc>
          <w:tcPr>
            <w:tcW w:w="1701" w:type="dxa"/>
            <w:vAlign w:val="center"/>
          </w:tcPr>
          <w:p w:rsidR="00AA7F69" w:rsidRDefault="00AA7F69" w:rsidP="006916CE">
            <w:pPr>
              <w:pStyle w:val="TableTextSmall"/>
              <w:keepNext/>
              <w:jc w:val="right"/>
            </w:pPr>
            <w:r w:rsidRPr="007F5A49">
              <w:t xml:space="preserve"> 6,932,939 </w:t>
            </w:r>
          </w:p>
        </w:tc>
        <w:tc>
          <w:tcPr>
            <w:tcW w:w="1701" w:type="dxa"/>
            <w:vAlign w:val="center"/>
          </w:tcPr>
          <w:p w:rsidR="00AA7F69" w:rsidRDefault="00AA7F69" w:rsidP="006916CE">
            <w:pPr>
              <w:pStyle w:val="TableTextSmall"/>
              <w:keepNext/>
              <w:jc w:val="right"/>
            </w:pPr>
            <w:r w:rsidRPr="007F5A49">
              <w:t xml:space="preserve"> 16,507,540 </w:t>
            </w:r>
          </w:p>
        </w:tc>
        <w:tc>
          <w:tcPr>
            <w:tcW w:w="1701" w:type="dxa"/>
            <w:vAlign w:val="center"/>
          </w:tcPr>
          <w:p w:rsidR="00AA7F69" w:rsidRDefault="00AA7F69" w:rsidP="006916CE">
            <w:pPr>
              <w:pStyle w:val="TableTextSmall"/>
              <w:keepNext/>
              <w:jc w:val="right"/>
            </w:pPr>
            <w:r w:rsidRPr="007F5A49">
              <w:t xml:space="preserve"> 23,440,478 </w:t>
            </w:r>
          </w:p>
        </w:tc>
        <w:tc>
          <w:tcPr>
            <w:tcW w:w="1779" w:type="dxa"/>
            <w:vAlign w:val="center"/>
          </w:tcPr>
          <w:p w:rsidR="00AA7F69" w:rsidRDefault="00AA7F69" w:rsidP="006916CE">
            <w:pPr>
              <w:pStyle w:val="TableTextSmall"/>
              <w:keepNext/>
              <w:jc w:val="right"/>
            </w:pPr>
            <w:r w:rsidRPr="007F5A49">
              <w:t xml:space="preserve"> 3 </w:t>
            </w:r>
          </w:p>
        </w:tc>
      </w:tr>
      <w:tr w:rsidR="00AA7F69" w:rsidTr="006916CE">
        <w:tc>
          <w:tcPr>
            <w:tcW w:w="2348" w:type="dxa"/>
            <w:vAlign w:val="center"/>
          </w:tcPr>
          <w:p w:rsidR="00AA7F69" w:rsidRDefault="00AA7F69" w:rsidP="006916CE">
            <w:pPr>
              <w:pStyle w:val="TableTextSmall"/>
              <w:keepNext/>
            </w:pPr>
            <w:r w:rsidRPr="007F5A49">
              <w:t>Outer North</w:t>
            </w:r>
          </w:p>
        </w:tc>
        <w:tc>
          <w:tcPr>
            <w:tcW w:w="4820" w:type="dxa"/>
            <w:vAlign w:val="center"/>
          </w:tcPr>
          <w:p w:rsidR="00AA7F69" w:rsidRDefault="00AA7F69" w:rsidP="006916CE">
            <w:pPr>
              <w:pStyle w:val="TableTextSmall"/>
              <w:keepNext/>
            </w:pPr>
            <w:r w:rsidRPr="007F5A49">
              <w:t>Campaspe (S),Greater Bendigo (C),Greater Shepparton (C),Strathbogie (S)</w:t>
            </w:r>
          </w:p>
        </w:tc>
        <w:tc>
          <w:tcPr>
            <w:tcW w:w="1701" w:type="dxa"/>
            <w:vAlign w:val="center"/>
          </w:tcPr>
          <w:p w:rsidR="00AA7F69" w:rsidRDefault="00AA7F69" w:rsidP="006916CE">
            <w:pPr>
              <w:pStyle w:val="TableTextSmall"/>
              <w:keepNext/>
              <w:jc w:val="right"/>
            </w:pPr>
            <w:r w:rsidRPr="007F5A49">
              <w:t xml:space="preserve"> 5,871,402 </w:t>
            </w:r>
          </w:p>
        </w:tc>
        <w:tc>
          <w:tcPr>
            <w:tcW w:w="1701" w:type="dxa"/>
            <w:vAlign w:val="center"/>
          </w:tcPr>
          <w:p w:rsidR="00AA7F69" w:rsidRDefault="00AA7F69" w:rsidP="006916CE">
            <w:pPr>
              <w:pStyle w:val="TableTextSmall"/>
              <w:keepNext/>
              <w:jc w:val="right"/>
            </w:pPr>
            <w:r w:rsidRPr="007F5A49">
              <w:t xml:space="preserve"> 16,001,291 </w:t>
            </w:r>
          </w:p>
        </w:tc>
        <w:tc>
          <w:tcPr>
            <w:tcW w:w="1701" w:type="dxa"/>
            <w:vAlign w:val="center"/>
          </w:tcPr>
          <w:p w:rsidR="00AA7F69" w:rsidRDefault="00AA7F69" w:rsidP="006916CE">
            <w:pPr>
              <w:pStyle w:val="TableTextSmall"/>
              <w:keepNext/>
              <w:jc w:val="right"/>
            </w:pPr>
            <w:r w:rsidRPr="007F5A49">
              <w:t xml:space="preserve"> 21,872,693 </w:t>
            </w:r>
          </w:p>
        </w:tc>
        <w:tc>
          <w:tcPr>
            <w:tcW w:w="1779" w:type="dxa"/>
            <w:vAlign w:val="center"/>
          </w:tcPr>
          <w:p w:rsidR="00AA7F69" w:rsidRDefault="00AA7F69" w:rsidP="006916CE">
            <w:pPr>
              <w:pStyle w:val="TableTextSmall"/>
              <w:keepNext/>
              <w:jc w:val="right"/>
            </w:pPr>
            <w:r w:rsidRPr="007F5A49">
              <w:t xml:space="preserve"> 3 </w:t>
            </w:r>
          </w:p>
        </w:tc>
      </w:tr>
      <w:tr w:rsidR="00AA7F69" w:rsidTr="006916CE">
        <w:tc>
          <w:tcPr>
            <w:tcW w:w="2348" w:type="dxa"/>
            <w:vAlign w:val="center"/>
          </w:tcPr>
          <w:p w:rsidR="00AA7F69" w:rsidRDefault="00AA7F69" w:rsidP="006916CE">
            <w:pPr>
              <w:pStyle w:val="TableTextSmall"/>
              <w:keepNext/>
            </w:pPr>
            <w:r w:rsidRPr="007F5A49">
              <w:t>Moira (S)</w:t>
            </w:r>
          </w:p>
        </w:tc>
        <w:tc>
          <w:tcPr>
            <w:tcW w:w="4820" w:type="dxa"/>
            <w:vAlign w:val="center"/>
          </w:tcPr>
          <w:p w:rsidR="00AA7F69" w:rsidRDefault="00AA7F69" w:rsidP="006916CE">
            <w:pPr>
              <w:pStyle w:val="TableTextSmall"/>
              <w:keepNext/>
            </w:pPr>
            <w:r w:rsidRPr="007F5A49">
              <w:t>Moira (S)</w:t>
            </w:r>
          </w:p>
        </w:tc>
        <w:tc>
          <w:tcPr>
            <w:tcW w:w="1701" w:type="dxa"/>
            <w:vAlign w:val="center"/>
          </w:tcPr>
          <w:p w:rsidR="00AA7F69" w:rsidRDefault="00AA7F69" w:rsidP="006916CE">
            <w:pPr>
              <w:pStyle w:val="TableTextSmall"/>
              <w:keepNext/>
              <w:jc w:val="right"/>
            </w:pPr>
            <w:r w:rsidRPr="007F5A49">
              <w:t xml:space="preserve"> 4,614,245 </w:t>
            </w:r>
          </w:p>
        </w:tc>
        <w:tc>
          <w:tcPr>
            <w:tcW w:w="1701" w:type="dxa"/>
            <w:vAlign w:val="center"/>
          </w:tcPr>
          <w:p w:rsidR="00AA7F69" w:rsidRDefault="00AA7F69" w:rsidP="006916CE">
            <w:pPr>
              <w:pStyle w:val="TableTextSmall"/>
              <w:keepNext/>
              <w:jc w:val="right"/>
            </w:pPr>
            <w:r w:rsidRPr="007F5A49">
              <w:t xml:space="preserve"> 13,577,723 </w:t>
            </w:r>
          </w:p>
        </w:tc>
        <w:tc>
          <w:tcPr>
            <w:tcW w:w="1701" w:type="dxa"/>
            <w:vAlign w:val="center"/>
          </w:tcPr>
          <w:p w:rsidR="00AA7F69" w:rsidRDefault="00AA7F69" w:rsidP="006916CE">
            <w:pPr>
              <w:pStyle w:val="TableTextSmall"/>
              <w:keepNext/>
              <w:jc w:val="right"/>
            </w:pPr>
            <w:r w:rsidRPr="007F5A49">
              <w:t xml:space="preserve"> 18,191,968 </w:t>
            </w:r>
          </w:p>
        </w:tc>
        <w:tc>
          <w:tcPr>
            <w:tcW w:w="1779" w:type="dxa"/>
            <w:vAlign w:val="center"/>
          </w:tcPr>
          <w:p w:rsidR="00AA7F69" w:rsidRDefault="00AA7F69" w:rsidP="006916CE">
            <w:pPr>
              <w:pStyle w:val="TableTextSmall"/>
              <w:keepNext/>
              <w:jc w:val="right"/>
            </w:pPr>
            <w:r w:rsidRPr="007F5A49">
              <w:t xml:space="preserve"> 2 </w:t>
            </w:r>
          </w:p>
        </w:tc>
      </w:tr>
      <w:tr w:rsidR="00AA7F69" w:rsidTr="006916CE">
        <w:tc>
          <w:tcPr>
            <w:tcW w:w="2348" w:type="dxa"/>
            <w:vAlign w:val="center"/>
          </w:tcPr>
          <w:p w:rsidR="00AA7F69" w:rsidRDefault="00AA7F69" w:rsidP="006916CE">
            <w:pPr>
              <w:pStyle w:val="TableTextSmall"/>
              <w:keepNext/>
            </w:pPr>
            <w:r w:rsidRPr="007F5A49">
              <w:t>Baw Baw (S)</w:t>
            </w:r>
          </w:p>
        </w:tc>
        <w:tc>
          <w:tcPr>
            <w:tcW w:w="4820" w:type="dxa"/>
            <w:vAlign w:val="center"/>
          </w:tcPr>
          <w:p w:rsidR="00AA7F69" w:rsidRDefault="00AA7F69" w:rsidP="006916CE">
            <w:pPr>
              <w:pStyle w:val="TableTextSmall"/>
              <w:keepNext/>
            </w:pPr>
            <w:r w:rsidRPr="007F5A49">
              <w:t>Baw Baw (S)</w:t>
            </w:r>
          </w:p>
        </w:tc>
        <w:tc>
          <w:tcPr>
            <w:tcW w:w="1701" w:type="dxa"/>
            <w:vAlign w:val="center"/>
          </w:tcPr>
          <w:p w:rsidR="00AA7F69" w:rsidRDefault="00AA7F69" w:rsidP="006916CE">
            <w:pPr>
              <w:pStyle w:val="TableTextSmall"/>
              <w:keepNext/>
              <w:jc w:val="right"/>
            </w:pPr>
            <w:r w:rsidRPr="007F5A49">
              <w:t xml:space="preserve"> 5,423,921 </w:t>
            </w:r>
          </w:p>
        </w:tc>
        <w:tc>
          <w:tcPr>
            <w:tcW w:w="1701" w:type="dxa"/>
            <w:vAlign w:val="center"/>
          </w:tcPr>
          <w:p w:rsidR="00AA7F69" w:rsidRDefault="00AA7F69" w:rsidP="006916CE">
            <w:pPr>
              <w:pStyle w:val="TableTextSmall"/>
              <w:keepNext/>
              <w:jc w:val="right"/>
            </w:pPr>
            <w:r w:rsidRPr="007F5A49">
              <w:t xml:space="preserve"> 11,941,415 </w:t>
            </w:r>
          </w:p>
        </w:tc>
        <w:tc>
          <w:tcPr>
            <w:tcW w:w="1701" w:type="dxa"/>
            <w:vAlign w:val="center"/>
          </w:tcPr>
          <w:p w:rsidR="00AA7F69" w:rsidRDefault="00AA7F69" w:rsidP="006916CE">
            <w:pPr>
              <w:pStyle w:val="TableTextSmall"/>
              <w:keepNext/>
              <w:jc w:val="right"/>
            </w:pPr>
            <w:r w:rsidRPr="007F5A49">
              <w:t xml:space="preserve"> 17,365,336 </w:t>
            </w:r>
          </w:p>
        </w:tc>
        <w:tc>
          <w:tcPr>
            <w:tcW w:w="1779" w:type="dxa"/>
            <w:vAlign w:val="center"/>
          </w:tcPr>
          <w:p w:rsidR="00AA7F69" w:rsidRDefault="00AA7F69" w:rsidP="006916CE">
            <w:pPr>
              <w:pStyle w:val="TableTextSmall"/>
              <w:keepNext/>
              <w:jc w:val="right"/>
            </w:pPr>
            <w:r w:rsidRPr="007F5A49">
              <w:t xml:space="preserve"> 2 </w:t>
            </w:r>
          </w:p>
        </w:tc>
      </w:tr>
      <w:tr w:rsidR="00AA7F69" w:rsidTr="006916CE">
        <w:tc>
          <w:tcPr>
            <w:tcW w:w="2348" w:type="dxa"/>
            <w:vAlign w:val="center"/>
          </w:tcPr>
          <w:p w:rsidR="00AA7F69" w:rsidRDefault="00AA7F69" w:rsidP="006916CE">
            <w:pPr>
              <w:pStyle w:val="TableTextSmall"/>
              <w:keepNext/>
            </w:pPr>
            <w:r w:rsidRPr="007F5A49">
              <w:t>Indigo (S)</w:t>
            </w:r>
          </w:p>
        </w:tc>
        <w:tc>
          <w:tcPr>
            <w:tcW w:w="4820" w:type="dxa"/>
            <w:vAlign w:val="center"/>
          </w:tcPr>
          <w:p w:rsidR="00AA7F69" w:rsidRDefault="00AA7F69" w:rsidP="006916CE">
            <w:pPr>
              <w:pStyle w:val="TableTextSmall"/>
              <w:keepNext/>
            </w:pPr>
            <w:r w:rsidRPr="007F5A49">
              <w:t>Indigo (S)</w:t>
            </w:r>
          </w:p>
        </w:tc>
        <w:tc>
          <w:tcPr>
            <w:tcW w:w="1701" w:type="dxa"/>
            <w:vAlign w:val="center"/>
          </w:tcPr>
          <w:p w:rsidR="00AA7F69" w:rsidRDefault="00AA7F69" w:rsidP="006916CE">
            <w:pPr>
              <w:pStyle w:val="TableTextSmall"/>
              <w:keepNext/>
              <w:jc w:val="right"/>
            </w:pPr>
            <w:r w:rsidRPr="007F5A49">
              <w:t xml:space="preserve"> 16,792,015 </w:t>
            </w:r>
          </w:p>
        </w:tc>
        <w:tc>
          <w:tcPr>
            <w:tcW w:w="1701" w:type="dxa"/>
            <w:vAlign w:val="center"/>
          </w:tcPr>
          <w:p w:rsidR="00AA7F69" w:rsidRDefault="00AA7F69" w:rsidP="006916CE">
            <w:pPr>
              <w:pStyle w:val="TableTextSmall"/>
              <w:keepNext/>
              <w:jc w:val="right"/>
            </w:pPr>
            <w:r w:rsidRPr="007F5A49">
              <w:t xml:space="preserve"> 214 </w:t>
            </w:r>
          </w:p>
        </w:tc>
        <w:tc>
          <w:tcPr>
            <w:tcW w:w="1701" w:type="dxa"/>
            <w:vAlign w:val="center"/>
          </w:tcPr>
          <w:p w:rsidR="00AA7F69" w:rsidRDefault="00AA7F69" w:rsidP="006916CE">
            <w:pPr>
              <w:pStyle w:val="TableTextSmall"/>
              <w:keepNext/>
              <w:jc w:val="right"/>
            </w:pPr>
            <w:r w:rsidRPr="007F5A49">
              <w:t xml:space="preserve"> 16,792,229 </w:t>
            </w:r>
          </w:p>
        </w:tc>
        <w:tc>
          <w:tcPr>
            <w:tcW w:w="1779" w:type="dxa"/>
            <w:vAlign w:val="center"/>
          </w:tcPr>
          <w:p w:rsidR="00AA7F69" w:rsidRDefault="00AA7F69" w:rsidP="006916CE">
            <w:pPr>
              <w:pStyle w:val="TableTextSmall"/>
              <w:keepNext/>
              <w:jc w:val="right"/>
            </w:pPr>
            <w:r w:rsidRPr="007F5A49">
              <w:t xml:space="preserve"> 2 </w:t>
            </w:r>
          </w:p>
        </w:tc>
      </w:tr>
      <w:tr w:rsidR="00AA7F69" w:rsidTr="006916CE">
        <w:tc>
          <w:tcPr>
            <w:tcW w:w="2348" w:type="dxa"/>
            <w:vAlign w:val="center"/>
          </w:tcPr>
          <w:p w:rsidR="00AA7F69" w:rsidRDefault="00AA7F69" w:rsidP="006916CE">
            <w:pPr>
              <w:pStyle w:val="TableTextSmall"/>
              <w:keepNext/>
            </w:pPr>
            <w:r w:rsidRPr="007F5A49">
              <w:t>Central North East</w:t>
            </w:r>
          </w:p>
        </w:tc>
        <w:tc>
          <w:tcPr>
            <w:tcW w:w="4820" w:type="dxa"/>
            <w:vAlign w:val="center"/>
          </w:tcPr>
          <w:p w:rsidR="00AA7F69" w:rsidRDefault="00AA7F69" w:rsidP="006916CE">
            <w:pPr>
              <w:pStyle w:val="TableTextSmall"/>
              <w:keepNext/>
            </w:pPr>
            <w:r w:rsidRPr="007F5A49">
              <w:t>Mansfield (S),Murrindindi (S)</w:t>
            </w:r>
          </w:p>
        </w:tc>
        <w:tc>
          <w:tcPr>
            <w:tcW w:w="1701" w:type="dxa"/>
            <w:vAlign w:val="center"/>
          </w:tcPr>
          <w:p w:rsidR="00AA7F69" w:rsidRDefault="00AA7F69" w:rsidP="006916CE">
            <w:pPr>
              <w:pStyle w:val="TableTextSmall"/>
              <w:keepNext/>
              <w:jc w:val="right"/>
            </w:pPr>
            <w:r w:rsidRPr="007F5A49">
              <w:t xml:space="preserve"> 4,015,412 </w:t>
            </w:r>
          </w:p>
        </w:tc>
        <w:tc>
          <w:tcPr>
            <w:tcW w:w="1701" w:type="dxa"/>
            <w:vAlign w:val="center"/>
          </w:tcPr>
          <w:p w:rsidR="00AA7F69" w:rsidRDefault="00AA7F69" w:rsidP="006916CE">
            <w:pPr>
              <w:pStyle w:val="TableTextSmall"/>
              <w:keepNext/>
              <w:jc w:val="right"/>
            </w:pPr>
            <w:r w:rsidRPr="007F5A49">
              <w:t xml:space="preserve"> 9,702,970 </w:t>
            </w:r>
          </w:p>
        </w:tc>
        <w:tc>
          <w:tcPr>
            <w:tcW w:w="1701" w:type="dxa"/>
            <w:vAlign w:val="center"/>
          </w:tcPr>
          <w:p w:rsidR="00AA7F69" w:rsidRDefault="00AA7F69" w:rsidP="006916CE">
            <w:pPr>
              <w:pStyle w:val="TableTextSmall"/>
              <w:keepNext/>
              <w:jc w:val="right"/>
            </w:pPr>
            <w:r w:rsidRPr="007F5A49">
              <w:t xml:space="preserve"> 13,718,382 </w:t>
            </w:r>
          </w:p>
        </w:tc>
        <w:tc>
          <w:tcPr>
            <w:tcW w:w="1779" w:type="dxa"/>
            <w:vAlign w:val="center"/>
          </w:tcPr>
          <w:p w:rsidR="00AA7F69" w:rsidRDefault="00AA7F69" w:rsidP="006916CE">
            <w:pPr>
              <w:pStyle w:val="TableTextSmall"/>
              <w:keepNext/>
              <w:jc w:val="right"/>
            </w:pPr>
            <w:r w:rsidRPr="007F5A49">
              <w:t xml:space="preserve"> 2 </w:t>
            </w:r>
          </w:p>
        </w:tc>
      </w:tr>
      <w:tr w:rsidR="00AA7F69" w:rsidTr="006916CE">
        <w:tc>
          <w:tcPr>
            <w:tcW w:w="2348" w:type="dxa"/>
            <w:vAlign w:val="center"/>
          </w:tcPr>
          <w:p w:rsidR="00AA7F69" w:rsidRDefault="00AA7F69" w:rsidP="006916CE">
            <w:pPr>
              <w:pStyle w:val="TableTextSmall"/>
              <w:keepNext/>
            </w:pPr>
            <w:r w:rsidRPr="007F5A49">
              <w:t>Moorabool (S)</w:t>
            </w:r>
          </w:p>
        </w:tc>
        <w:tc>
          <w:tcPr>
            <w:tcW w:w="4820" w:type="dxa"/>
            <w:vAlign w:val="center"/>
          </w:tcPr>
          <w:p w:rsidR="00AA7F69" w:rsidRDefault="00AA7F69" w:rsidP="006916CE">
            <w:pPr>
              <w:pStyle w:val="TableTextSmall"/>
              <w:keepNext/>
            </w:pPr>
            <w:r w:rsidRPr="007F5A49">
              <w:t>Moorabool (S)</w:t>
            </w:r>
          </w:p>
        </w:tc>
        <w:tc>
          <w:tcPr>
            <w:tcW w:w="1701" w:type="dxa"/>
            <w:vAlign w:val="center"/>
          </w:tcPr>
          <w:p w:rsidR="00AA7F69" w:rsidRDefault="00AA7F69" w:rsidP="006916CE">
            <w:pPr>
              <w:pStyle w:val="TableTextSmall"/>
              <w:keepNext/>
              <w:jc w:val="right"/>
            </w:pPr>
            <w:r w:rsidRPr="007F5A49">
              <w:t xml:space="preserve"> 3,935,260 </w:t>
            </w:r>
          </w:p>
        </w:tc>
        <w:tc>
          <w:tcPr>
            <w:tcW w:w="1701" w:type="dxa"/>
            <w:vAlign w:val="center"/>
          </w:tcPr>
          <w:p w:rsidR="00AA7F69" w:rsidRDefault="00AA7F69" w:rsidP="006916CE">
            <w:pPr>
              <w:pStyle w:val="TableTextSmall"/>
              <w:keepNext/>
              <w:jc w:val="right"/>
            </w:pPr>
            <w:r w:rsidRPr="007F5A49">
              <w:t xml:space="preserve"> 7,861,537 </w:t>
            </w:r>
          </w:p>
        </w:tc>
        <w:tc>
          <w:tcPr>
            <w:tcW w:w="1701" w:type="dxa"/>
            <w:vAlign w:val="center"/>
          </w:tcPr>
          <w:p w:rsidR="00AA7F69" w:rsidRDefault="00AA7F69" w:rsidP="006916CE">
            <w:pPr>
              <w:pStyle w:val="TableTextSmall"/>
              <w:keepNext/>
              <w:jc w:val="right"/>
            </w:pPr>
            <w:r w:rsidRPr="007F5A49">
              <w:t xml:space="preserve"> 11,796,797 </w:t>
            </w:r>
          </w:p>
        </w:tc>
        <w:tc>
          <w:tcPr>
            <w:tcW w:w="1779" w:type="dxa"/>
            <w:vAlign w:val="center"/>
          </w:tcPr>
          <w:p w:rsidR="00AA7F69" w:rsidRDefault="00AA7F69" w:rsidP="006916CE">
            <w:pPr>
              <w:pStyle w:val="TableTextSmall"/>
              <w:keepNext/>
              <w:jc w:val="right"/>
            </w:pPr>
            <w:r w:rsidRPr="007F5A49">
              <w:t xml:space="preserve"> 1 </w:t>
            </w:r>
          </w:p>
        </w:tc>
      </w:tr>
    </w:tbl>
    <w:p w:rsidR="00F72450" w:rsidRDefault="0029459C" w:rsidP="001166B7">
      <w:pPr>
        <w:pStyle w:val="Sources"/>
        <w:keepNext/>
      </w:pPr>
      <w:r>
        <w:t>Source: PwC analysis</w:t>
      </w:r>
      <w:r w:rsidR="00332397">
        <w:t xml:space="preserve">. Supply volumes relate to residential and commercial construction demand. </w:t>
      </w:r>
    </w:p>
    <w:p w:rsidR="00F72450" w:rsidRDefault="00F72450">
      <w:pPr>
        <w:kinsoku/>
        <w:overflowPunct/>
        <w:autoSpaceDE/>
        <w:autoSpaceDN/>
        <w:adjustRightInd/>
        <w:snapToGrid/>
        <w:rPr>
          <w:color w:val="A32020" w:themeColor="text2"/>
          <w:sz w:val="16"/>
        </w:rPr>
      </w:pPr>
    </w:p>
    <w:p w:rsidR="0029459C" w:rsidRDefault="0029459C" w:rsidP="006916CE">
      <w:pPr>
        <w:pStyle w:val="Heading7"/>
      </w:pPr>
      <w:r>
        <w:t>Sand and gravel</w:t>
      </w:r>
    </w:p>
    <w:p w:rsidR="0029459C" w:rsidRDefault="00CD7815">
      <w:pPr>
        <w:pStyle w:val="PwCNormal"/>
      </w:pPr>
      <w:r>
        <w:t xml:space="preserve">Sand and gravel production is concentrated in a similar area of the State to that of hard rock. South Gippsland is identified as a key supplier of sand and gravel resources to Greater Melbourne, along with other South-Eastern locations including Cardinia and Baw Baw. </w:t>
      </w:r>
    </w:p>
    <w:p w:rsidR="00AA7F69" w:rsidRDefault="00AA7F69" w:rsidP="006916CE">
      <w:pPr>
        <w:pStyle w:val="Caption"/>
      </w:pPr>
      <w:r>
        <w:t xml:space="preserve">Table </w:t>
      </w:r>
      <w:fldSimple w:instr=" SEQ Table \* ARABIC ">
        <w:r w:rsidR="00E22E13">
          <w:rPr>
            <w:noProof/>
          </w:rPr>
          <w:t>20</w:t>
        </w:r>
      </w:fldSimple>
      <w:r>
        <w:t xml:space="preserve">: </w:t>
      </w:r>
      <w:r w:rsidR="00916022">
        <w:t>Criterion 4</w:t>
      </w:r>
      <w:r w:rsidRPr="00597FB6">
        <w:t xml:space="preserve"> – Key supply locations to Greater Melbourne:</w:t>
      </w:r>
      <w:r>
        <w:t xml:space="preserve"> Sand and gravel</w:t>
      </w:r>
    </w:p>
    <w:tbl>
      <w:tblPr>
        <w:tblStyle w:val="Tables-APBase"/>
        <w:tblW w:w="0" w:type="auto"/>
        <w:tblLook w:val="04A0" w:firstRow="1" w:lastRow="0" w:firstColumn="1" w:lastColumn="0" w:noHBand="0" w:noVBand="1"/>
        <w:tblCaption w:val="Table 20"/>
        <w:tblDescription w:val="Table 20 shows criterion 4 - key supply locations to Greater Melbourne for sand and gravel.  They are, in descending order, South Gippsland, Cardinia, Baw Baw, Inner West (comprising Macedon Ranges and Moorabool), Bass Coast, Outer North (comprising Campaspe and Greater Shepparton), Inner South East (comprising Frankston, Kingston and Mornington Peninsula), Surf Coast, Outer North East (comprising Indigo, Towong and Wodonga), Greater Bendigo, Northern Grampians, Inner North East (Mitchell and Murrindindi), Greater Geelong, Wellington and Colac-Otway.&#10;&#10;"/>
      </w:tblPr>
      <w:tblGrid>
        <w:gridCol w:w="2376"/>
        <w:gridCol w:w="4678"/>
        <w:gridCol w:w="1701"/>
        <w:gridCol w:w="1815"/>
        <w:gridCol w:w="1701"/>
        <w:gridCol w:w="1779"/>
      </w:tblGrid>
      <w:tr w:rsidR="00AA7F69"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rsidR="00AA7F69" w:rsidRDefault="00AA7F69">
            <w:pPr>
              <w:pStyle w:val="TableColumnHeadingSmall"/>
            </w:pPr>
            <w:r w:rsidRPr="007F5A49">
              <w:t>Region name</w:t>
            </w:r>
          </w:p>
        </w:tc>
        <w:tc>
          <w:tcPr>
            <w:tcW w:w="4678" w:type="dxa"/>
          </w:tcPr>
          <w:p w:rsidR="00AA7F69" w:rsidRDefault="00AA7F69">
            <w:pPr>
              <w:pStyle w:val="TableColumnHeadingSmall"/>
              <w:jc w:val="left"/>
              <w:cnfStyle w:val="100000000000" w:firstRow="1" w:lastRow="0" w:firstColumn="0" w:lastColumn="0" w:oddVBand="0" w:evenVBand="0" w:oddHBand="0" w:evenHBand="0" w:firstRowFirstColumn="0" w:firstRowLastColumn="0" w:lastRowFirstColumn="0" w:lastRowLastColumn="0"/>
            </w:pPr>
            <w:r w:rsidRPr="007F5A49">
              <w:t>LGAs in region</w:t>
            </w:r>
          </w:p>
        </w:tc>
        <w:tc>
          <w:tcPr>
            <w:tcW w:w="1701" w:type="dxa"/>
          </w:tcPr>
          <w:p w:rsidR="00AA7F69" w:rsidRDefault="00AA7F69"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25</w:t>
            </w:r>
            <w:r w:rsidR="00295884">
              <w:t xml:space="preserve"> (tonnes)</w:t>
            </w:r>
          </w:p>
        </w:tc>
        <w:tc>
          <w:tcPr>
            <w:tcW w:w="1815"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2026</w:t>
            </w:r>
            <w:r w:rsidR="00197B03">
              <w:t xml:space="preserve"> to 20</w:t>
            </w:r>
            <w:r w:rsidRPr="007F5A49">
              <w:t>50</w:t>
            </w:r>
            <w:r w:rsidR="00295884">
              <w:t xml:space="preserve"> (tonnes)</w:t>
            </w:r>
          </w:p>
        </w:tc>
        <w:tc>
          <w:tcPr>
            <w:tcW w:w="1701"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50</w:t>
            </w:r>
            <w:r w:rsidR="00295884">
              <w:t xml:space="preserve"> (tonnes)</w:t>
            </w:r>
          </w:p>
        </w:tc>
        <w:tc>
          <w:tcPr>
            <w:tcW w:w="1779"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 of total supply to Greater Melbourne, 2015</w:t>
            </w:r>
            <w:r w:rsidR="00197B03">
              <w:t xml:space="preserve"> to 20</w:t>
            </w:r>
            <w:r w:rsidRPr="007F5A49">
              <w:t>50</w:t>
            </w:r>
          </w:p>
        </w:tc>
      </w:tr>
      <w:tr w:rsidR="00AA7F69" w:rsidTr="006916CE">
        <w:tc>
          <w:tcPr>
            <w:tcW w:w="2376" w:type="dxa"/>
            <w:vAlign w:val="center"/>
          </w:tcPr>
          <w:p w:rsidR="00AA7F69" w:rsidRDefault="00AA7F69" w:rsidP="006916CE">
            <w:pPr>
              <w:pStyle w:val="TableTextSmall"/>
              <w:keepNext/>
            </w:pPr>
            <w:r w:rsidRPr="00A33FEE">
              <w:t>South Gippsland (S)</w:t>
            </w:r>
          </w:p>
        </w:tc>
        <w:tc>
          <w:tcPr>
            <w:tcW w:w="4678" w:type="dxa"/>
            <w:vAlign w:val="center"/>
          </w:tcPr>
          <w:p w:rsidR="00AA7F69" w:rsidRDefault="00AA7F69" w:rsidP="006916CE">
            <w:pPr>
              <w:pStyle w:val="TableTextSmall"/>
              <w:keepNext/>
            </w:pPr>
            <w:r w:rsidRPr="00A33FEE">
              <w:t>South Gippsland (S)</w:t>
            </w:r>
          </w:p>
        </w:tc>
        <w:tc>
          <w:tcPr>
            <w:tcW w:w="1701" w:type="dxa"/>
            <w:vAlign w:val="center"/>
          </w:tcPr>
          <w:p w:rsidR="00AA7F69" w:rsidRDefault="00AA7F69" w:rsidP="006916CE">
            <w:pPr>
              <w:pStyle w:val="TableTextSmall"/>
              <w:keepNext/>
              <w:jc w:val="right"/>
            </w:pPr>
            <w:r w:rsidRPr="00A33FEE">
              <w:t xml:space="preserve"> 14,918,985 </w:t>
            </w:r>
          </w:p>
        </w:tc>
        <w:tc>
          <w:tcPr>
            <w:tcW w:w="1815" w:type="dxa"/>
            <w:vAlign w:val="center"/>
          </w:tcPr>
          <w:p w:rsidR="00AA7F69" w:rsidRDefault="00AA7F69" w:rsidP="006916CE">
            <w:pPr>
              <w:pStyle w:val="TableTextSmall"/>
              <w:keepNext/>
              <w:jc w:val="right"/>
            </w:pPr>
            <w:r w:rsidRPr="00A33FEE">
              <w:t xml:space="preserve"> 42,123,237 </w:t>
            </w:r>
          </w:p>
        </w:tc>
        <w:tc>
          <w:tcPr>
            <w:tcW w:w="1701" w:type="dxa"/>
            <w:vAlign w:val="center"/>
          </w:tcPr>
          <w:p w:rsidR="00AA7F69" w:rsidRDefault="00AA7F69" w:rsidP="006916CE">
            <w:pPr>
              <w:pStyle w:val="TableTextSmall"/>
              <w:keepNext/>
              <w:jc w:val="right"/>
            </w:pPr>
            <w:r w:rsidRPr="00A33FEE">
              <w:t xml:space="preserve"> 57,042,222 </w:t>
            </w:r>
          </w:p>
        </w:tc>
        <w:tc>
          <w:tcPr>
            <w:tcW w:w="1779" w:type="dxa"/>
            <w:vAlign w:val="center"/>
          </w:tcPr>
          <w:p w:rsidR="00AA7F69" w:rsidRDefault="00AA7F69" w:rsidP="006916CE">
            <w:pPr>
              <w:pStyle w:val="TableTextSmall"/>
              <w:keepNext/>
              <w:jc w:val="right"/>
            </w:pPr>
            <w:r w:rsidRPr="00A33FEE">
              <w:t xml:space="preserve"> 22 </w:t>
            </w:r>
          </w:p>
        </w:tc>
      </w:tr>
      <w:tr w:rsidR="00AA7F69" w:rsidTr="006916CE">
        <w:tc>
          <w:tcPr>
            <w:tcW w:w="2376" w:type="dxa"/>
            <w:vAlign w:val="center"/>
          </w:tcPr>
          <w:p w:rsidR="00AA7F69" w:rsidRDefault="00AA7F69" w:rsidP="006916CE">
            <w:pPr>
              <w:pStyle w:val="TableTextSmall"/>
              <w:keepNext/>
            </w:pPr>
            <w:r w:rsidRPr="00A33FEE">
              <w:t>Cardinia (S)</w:t>
            </w:r>
          </w:p>
        </w:tc>
        <w:tc>
          <w:tcPr>
            <w:tcW w:w="4678" w:type="dxa"/>
            <w:vAlign w:val="center"/>
          </w:tcPr>
          <w:p w:rsidR="00AA7F69" w:rsidRDefault="00AA7F69" w:rsidP="006916CE">
            <w:pPr>
              <w:pStyle w:val="TableTextSmall"/>
              <w:keepNext/>
            </w:pPr>
            <w:r w:rsidRPr="00A33FEE">
              <w:t>Cardinia (S)</w:t>
            </w:r>
          </w:p>
        </w:tc>
        <w:tc>
          <w:tcPr>
            <w:tcW w:w="1701" w:type="dxa"/>
            <w:vAlign w:val="center"/>
          </w:tcPr>
          <w:p w:rsidR="00AA7F69" w:rsidRDefault="00AA7F69" w:rsidP="006916CE">
            <w:pPr>
              <w:pStyle w:val="TableTextSmall"/>
              <w:keepNext/>
              <w:jc w:val="right"/>
            </w:pPr>
            <w:r w:rsidRPr="00A33FEE">
              <w:t xml:space="preserve"> 7,835,512 </w:t>
            </w:r>
          </w:p>
        </w:tc>
        <w:tc>
          <w:tcPr>
            <w:tcW w:w="1815" w:type="dxa"/>
            <w:vAlign w:val="center"/>
          </w:tcPr>
          <w:p w:rsidR="00AA7F69" w:rsidRDefault="00AA7F69" w:rsidP="006916CE">
            <w:pPr>
              <w:pStyle w:val="TableTextSmall"/>
              <w:keepNext/>
              <w:jc w:val="right"/>
            </w:pPr>
            <w:r w:rsidRPr="00A33FEE">
              <w:t xml:space="preserve"> 37,011,485 </w:t>
            </w:r>
          </w:p>
        </w:tc>
        <w:tc>
          <w:tcPr>
            <w:tcW w:w="1701" w:type="dxa"/>
            <w:vAlign w:val="center"/>
          </w:tcPr>
          <w:p w:rsidR="00AA7F69" w:rsidRDefault="00AA7F69" w:rsidP="006916CE">
            <w:pPr>
              <w:pStyle w:val="TableTextSmall"/>
              <w:keepNext/>
              <w:jc w:val="right"/>
            </w:pPr>
            <w:r w:rsidRPr="00A33FEE">
              <w:t xml:space="preserve"> 44,846,997 </w:t>
            </w:r>
          </w:p>
        </w:tc>
        <w:tc>
          <w:tcPr>
            <w:tcW w:w="1779" w:type="dxa"/>
            <w:vAlign w:val="center"/>
          </w:tcPr>
          <w:p w:rsidR="00AA7F69" w:rsidRDefault="00AA7F69" w:rsidP="006916CE">
            <w:pPr>
              <w:pStyle w:val="TableTextSmall"/>
              <w:keepNext/>
              <w:jc w:val="right"/>
            </w:pPr>
            <w:r w:rsidRPr="00A33FEE">
              <w:t xml:space="preserve"> 18 </w:t>
            </w:r>
          </w:p>
        </w:tc>
      </w:tr>
      <w:tr w:rsidR="00AA7F69" w:rsidTr="006916CE">
        <w:tc>
          <w:tcPr>
            <w:tcW w:w="2376" w:type="dxa"/>
            <w:vAlign w:val="center"/>
          </w:tcPr>
          <w:p w:rsidR="00AA7F69" w:rsidRDefault="00AA7F69" w:rsidP="006916CE">
            <w:pPr>
              <w:pStyle w:val="TableTextSmall"/>
              <w:keepNext/>
            </w:pPr>
            <w:r w:rsidRPr="00A33FEE">
              <w:t>Baw Baw (S)</w:t>
            </w:r>
          </w:p>
        </w:tc>
        <w:tc>
          <w:tcPr>
            <w:tcW w:w="4678" w:type="dxa"/>
            <w:vAlign w:val="center"/>
          </w:tcPr>
          <w:p w:rsidR="00AA7F69" w:rsidRDefault="00AA7F69" w:rsidP="006916CE">
            <w:pPr>
              <w:pStyle w:val="TableTextSmall"/>
              <w:keepNext/>
            </w:pPr>
            <w:r w:rsidRPr="00A33FEE">
              <w:t>Baw Baw (S)</w:t>
            </w:r>
          </w:p>
        </w:tc>
        <w:tc>
          <w:tcPr>
            <w:tcW w:w="1701" w:type="dxa"/>
            <w:vAlign w:val="center"/>
          </w:tcPr>
          <w:p w:rsidR="00AA7F69" w:rsidRDefault="00AA7F69" w:rsidP="006916CE">
            <w:pPr>
              <w:pStyle w:val="TableTextSmall"/>
              <w:keepNext/>
              <w:jc w:val="right"/>
            </w:pPr>
            <w:r w:rsidRPr="00A33FEE">
              <w:t xml:space="preserve"> 10,503,799 </w:t>
            </w:r>
          </w:p>
        </w:tc>
        <w:tc>
          <w:tcPr>
            <w:tcW w:w="1815" w:type="dxa"/>
            <w:vAlign w:val="center"/>
          </w:tcPr>
          <w:p w:rsidR="00AA7F69" w:rsidRDefault="00AA7F69" w:rsidP="006916CE">
            <w:pPr>
              <w:pStyle w:val="TableTextSmall"/>
              <w:keepNext/>
              <w:jc w:val="right"/>
            </w:pPr>
            <w:r w:rsidRPr="00A33FEE">
              <w:t xml:space="preserve"> 23,913,591 </w:t>
            </w:r>
          </w:p>
        </w:tc>
        <w:tc>
          <w:tcPr>
            <w:tcW w:w="1701" w:type="dxa"/>
            <w:vAlign w:val="center"/>
          </w:tcPr>
          <w:p w:rsidR="00AA7F69" w:rsidRDefault="00AA7F69" w:rsidP="006916CE">
            <w:pPr>
              <w:pStyle w:val="TableTextSmall"/>
              <w:keepNext/>
              <w:jc w:val="right"/>
            </w:pPr>
            <w:r w:rsidRPr="00A33FEE">
              <w:t xml:space="preserve"> 34,417,390 </w:t>
            </w:r>
          </w:p>
        </w:tc>
        <w:tc>
          <w:tcPr>
            <w:tcW w:w="1779" w:type="dxa"/>
            <w:vAlign w:val="center"/>
          </w:tcPr>
          <w:p w:rsidR="00AA7F69" w:rsidRDefault="00AA7F69" w:rsidP="006916CE">
            <w:pPr>
              <w:pStyle w:val="TableTextSmall"/>
              <w:keepNext/>
              <w:jc w:val="right"/>
            </w:pPr>
            <w:r w:rsidRPr="00A33FEE">
              <w:t xml:space="preserve"> 14 </w:t>
            </w:r>
          </w:p>
        </w:tc>
      </w:tr>
      <w:tr w:rsidR="00AA7F69" w:rsidTr="006916CE">
        <w:tc>
          <w:tcPr>
            <w:tcW w:w="2376" w:type="dxa"/>
            <w:vAlign w:val="center"/>
          </w:tcPr>
          <w:p w:rsidR="00AA7F69" w:rsidRDefault="00AA7F69" w:rsidP="006916CE">
            <w:pPr>
              <w:pStyle w:val="TableTextSmall"/>
              <w:keepNext/>
            </w:pPr>
            <w:r w:rsidRPr="00A33FEE">
              <w:t>Inner West</w:t>
            </w:r>
          </w:p>
        </w:tc>
        <w:tc>
          <w:tcPr>
            <w:tcW w:w="4678" w:type="dxa"/>
            <w:vAlign w:val="center"/>
          </w:tcPr>
          <w:p w:rsidR="00AA7F69" w:rsidRDefault="00AA7F69" w:rsidP="006916CE">
            <w:pPr>
              <w:pStyle w:val="TableTextSmall"/>
              <w:keepNext/>
            </w:pPr>
            <w:r w:rsidRPr="00A33FEE">
              <w:t>Macedon Ranges (S),Moorabool (S)</w:t>
            </w:r>
          </w:p>
        </w:tc>
        <w:tc>
          <w:tcPr>
            <w:tcW w:w="1701" w:type="dxa"/>
            <w:vAlign w:val="center"/>
          </w:tcPr>
          <w:p w:rsidR="00AA7F69" w:rsidRDefault="00AA7F69" w:rsidP="006916CE">
            <w:pPr>
              <w:pStyle w:val="TableTextSmall"/>
              <w:keepNext/>
              <w:jc w:val="right"/>
            </w:pPr>
            <w:r w:rsidRPr="00A33FEE">
              <w:t xml:space="preserve"> 11,915,961 </w:t>
            </w:r>
          </w:p>
        </w:tc>
        <w:tc>
          <w:tcPr>
            <w:tcW w:w="1815" w:type="dxa"/>
            <w:vAlign w:val="center"/>
          </w:tcPr>
          <w:p w:rsidR="00AA7F69" w:rsidRDefault="00AA7F69" w:rsidP="006916CE">
            <w:pPr>
              <w:pStyle w:val="TableTextSmall"/>
              <w:keepNext/>
              <w:jc w:val="right"/>
            </w:pPr>
            <w:r w:rsidRPr="00A33FEE">
              <w:t xml:space="preserve"> 9,794,439 </w:t>
            </w:r>
          </w:p>
        </w:tc>
        <w:tc>
          <w:tcPr>
            <w:tcW w:w="1701" w:type="dxa"/>
            <w:vAlign w:val="center"/>
          </w:tcPr>
          <w:p w:rsidR="00AA7F69" w:rsidRDefault="00AA7F69" w:rsidP="006916CE">
            <w:pPr>
              <w:pStyle w:val="TableTextSmall"/>
              <w:keepNext/>
              <w:jc w:val="right"/>
            </w:pPr>
            <w:r w:rsidRPr="00A33FEE">
              <w:t xml:space="preserve"> 21,710,400 </w:t>
            </w:r>
          </w:p>
        </w:tc>
        <w:tc>
          <w:tcPr>
            <w:tcW w:w="1779" w:type="dxa"/>
            <w:vAlign w:val="center"/>
          </w:tcPr>
          <w:p w:rsidR="00AA7F69" w:rsidRDefault="00AA7F69" w:rsidP="006916CE">
            <w:pPr>
              <w:pStyle w:val="TableTextSmall"/>
              <w:keepNext/>
              <w:jc w:val="right"/>
            </w:pPr>
            <w:r w:rsidRPr="00A33FEE">
              <w:t xml:space="preserve"> 9 </w:t>
            </w:r>
          </w:p>
        </w:tc>
      </w:tr>
      <w:tr w:rsidR="00AA7F69" w:rsidTr="006916CE">
        <w:tc>
          <w:tcPr>
            <w:tcW w:w="2376" w:type="dxa"/>
            <w:vAlign w:val="center"/>
          </w:tcPr>
          <w:p w:rsidR="00AA7F69" w:rsidRDefault="00AA7F69" w:rsidP="006916CE">
            <w:pPr>
              <w:pStyle w:val="TableTextSmall"/>
              <w:keepNext/>
            </w:pPr>
            <w:r w:rsidRPr="00A33FEE">
              <w:t>Bass Coast (S)</w:t>
            </w:r>
          </w:p>
        </w:tc>
        <w:tc>
          <w:tcPr>
            <w:tcW w:w="4678" w:type="dxa"/>
            <w:vAlign w:val="center"/>
          </w:tcPr>
          <w:p w:rsidR="00AA7F69" w:rsidRDefault="00AA7F69" w:rsidP="006916CE">
            <w:pPr>
              <w:pStyle w:val="TableTextSmall"/>
              <w:keepNext/>
            </w:pPr>
            <w:r w:rsidRPr="00A33FEE">
              <w:t>Bass Coast (S)</w:t>
            </w:r>
          </w:p>
        </w:tc>
        <w:tc>
          <w:tcPr>
            <w:tcW w:w="1701" w:type="dxa"/>
            <w:vAlign w:val="center"/>
          </w:tcPr>
          <w:p w:rsidR="00AA7F69" w:rsidRDefault="00AA7F69" w:rsidP="006916CE">
            <w:pPr>
              <w:pStyle w:val="TableTextSmall"/>
              <w:keepNext/>
              <w:jc w:val="right"/>
            </w:pPr>
            <w:r w:rsidRPr="00A33FEE">
              <w:t xml:space="preserve"> 4,246,998 </w:t>
            </w:r>
          </w:p>
        </w:tc>
        <w:tc>
          <w:tcPr>
            <w:tcW w:w="1815" w:type="dxa"/>
            <w:vAlign w:val="center"/>
          </w:tcPr>
          <w:p w:rsidR="00AA7F69" w:rsidRDefault="00AA7F69" w:rsidP="006916CE">
            <w:pPr>
              <w:pStyle w:val="TableTextSmall"/>
              <w:keepNext/>
              <w:jc w:val="right"/>
            </w:pPr>
            <w:r w:rsidRPr="00A33FEE">
              <w:t xml:space="preserve"> 9,215,007 </w:t>
            </w:r>
          </w:p>
        </w:tc>
        <w:tc>
          <w:tcPr>
            <w:tcW w:w="1701" w:type="dxa"/>
            <w:vAlign w:val="center"/>
          </w:tcPr>
          <w:p w:rsidR="00AA7F69" w:rsidRDefault="00AA7F69" w:rsidP="006916CE">
            <w:pPr>
              <w:pStyle w:val="TableTextSmall"/>
              <w:keepNext/>
              <w:jc w:val="right"/>
            </w:pPr>
            <w:r w:rsidRPr="00A33FEE">
              <w:t xml:space="preserve"> 13,462,004 </w:t>
            </w:r>
          </w:p>
        </w:tc>
        <w:tc>
          <w:tcPr>
            <w:tcW w:w="1779" w:type="dxa"/>
            <w:vAlign w:val="center"/>
          </w:tcPr>
          <w:p w:rsidR="00AA7F69" w:rsidRDefault="00AA7F69" w:rsidP="006916CE">
            <w:pPr>
              <w:pStyle w:val="TableTextSmall"/>
              <w:keepNext/>
              <w:jc w:val="right"/>
            </w:pPr>
            <w:r w:rsidRPr="00A33FEE">
              <w:t xml:space="preserve"> 5 </w:t>
            </w:r>
          </w:p>
        </w:tc>
      </w:tr>
      <w:tr w:rsidR="00AA7F69" w:rsidTr="006916CE">
        <w:tc>
          <w:tcPr>
            <w:tcW w:w="2376" w:type="dxa"/>
            <w:vAlign w:val="center"/>
          </w:tcPr>
          <w:p w:rsidR="00AA7F69" w:rsidRDefault="00AA7F69" w:rsidP="006916CE">
            <w:pPr>
              <w:pStyle w:val="TableTextSmall"/>
              <w:keepNext/>
            </w:pPr>
            <w:r w:rsidRPr="00A33FEE">
              <w:t>Outer North</w:t>
            </w:r>
          </w:p>
        </w:tc>
        <w:tc>
          <w:tcPr>
            <w:tcW w:w="4678" w:type="dxa"/>
            <w:vAlign w:val="center"/>
          </w:tcPr>
          <w:p w:rsidR="00AA7F69" w:rsidRDefault="00AA7F69" w:rsidP="006916CE">
            <w:pPr>
              <w:pStyle w:val="TableTextSmall"/>
              <w:keepNext/>
            </w:pPr>
            <w:r w:rsidRPr="00A33FEE">
              <w:t>Campaspe (S),Greater Shepparton (C)</w:t>
            </w:r>
          </w:p>
        </w:tc>
        <w:tc>
          <w:tcPr>
            <w:tcW w:w="1701" w:type="dxa"/>
            <w:vAlign w:val="center"/>
          </w:tcPr>
          <w:p w:rsidR="00AA7F69" w:rsidRDefault="00AA7F69" w:rsidP="006916CE">
            <w:pPr>
              <w:pStyle w:val="TableTextSmall"/>
              <w:keepNext/>
              <w:jc w:val="right"/>
            </w:pPr>
            <w:r w:rsidRPr="00A33FEE">
              <w:t xml:space="preserve"> 3,268,715 </w:t>
            </w:r>
          </w:p>
        </w:tc>
        <w:tc>
          <w:tcPr>
            <w:tcW w:w="1815" w:type="dxa"/>
            <w:vAlign w:val="center"/>
          </w:tcPr>
          <w:p w:rsidR="00AA7F69" w:rsidRDefault="00AA7F69" w:rsidP="006916CE">
            <w:pPr>
              <w:pStyle w:val="TableTextSmall"/>
              <w:keepNext/>
              <w:jc w:val="right"/>
            </w:pPr>
            <w:r w:rsidRPr="00A33FEE">
              <w:t xml:space="preserve"> 5,601,668 </w:t>
            </w:r>
          </w:p>
        </w:tc>
        <w:tc>
          <w:tcPr>
            <w:tcW w:w="1701" w:type="dxa"/>
            <w:vAlign w:val="center"/>
          </w:tcPr>
          <w:p w:rsidR="00AA7F69" w:rsidRDefault="00AA7F69" w:rsidP="006916CE">
            <w:pPr>
              <w:pStyle w:val="TableTextSmall"/>
              <w:keepNext/>
              <w:jc w:val="right"/>
            </w:pPr>
            <w:r w:rsidRPr="00A33FEE">
              <w:t xml:space="preserve"> 8,870,383 </w:t>
            </w:r>
          </w:p>
        </w:tc>
        <w:tc>
          <w:tcPr>
            <w:tcW w:w="1779" w:type="dxa"/>
            <w:vAlign w:val="center"/>
          </w:tcPr>
          <w:p w:rsidR="00AA7F69" w:rsidRDefault="00AA7F69" w:rsidP="006916CE">
            <w:pPr>
              <w:pStyle w:val="TableTextSmall"/>
              <w:keepNext/>
              <w:jc w:val="right"/>
            </w:pPr>
            <w:r w:rsidRPr="00A33FEE">
              <w:t xml:space="preserve"> 3 </w:t>
            </w:r>
          </w:p>
        </w:tc>
      </w:tr>
      <w:tr w:rsidR="00AA7F69" w:rsidTr="006916CE">
        <w:tc>
          <w:tcPr>
            <w:tcW w:w="2376" w:type="dxa"/>
            <w:vAlign w:val="center"/>
          </w:tcPr>
          <w:p w:rsidR="00AA7F69" w:rsidRDefault="00AA7F69" w:rsidP="006916CE">
            <w:pPr>
              <w:pStyle w:val="TableTextSmall"/>
              <w:keepNext/>
            </w:pPr>
            <w:r w:rsidRPr="00A33FEE">
              <w:t>Inner South East</w:t>
            </w:r>
          </w:p>
        </w:tc>
        <w:tc>
          <w:tcPr>
            <w:tcW w:w="4678" w:type="dxa"/>
            <w:vAlign w:val="center"/>
          </w:tcPr>
          <w:p w:rsidR="00AA7F69" w:rsidRDefault="00AA7F69" w:rsidP="006916CE">
            <w:pPr>
              <w:pStyle w:val="TableTextSmall"/>
              <w:keepNext/>
            </w:pPr>
            <w:r w:rsidRPr="00A33FEE">
              <w:t>Frankston (C),Kingston (C),Mornington Peninsula (S)</w:t>
            </w:r>
          </w:p>
        </w:tc>
        <w:tc>
          <w:tcPr>
            <w:tcW w:w="1701" w:type="dxa"/>
            <w:vAlign w:val="center"/>
          </w:tcPr>
          <w:p w:rsidR="00AA7F69" w:rsidRDefault="00AA7F69" w:rsidP="006916CE">
            <w:pPr>
              <w:pStyle w:val="TableTextSmall"/>
              <w:keepNext/>
              <w:jc w:val="right"/>
            </w:pPr>
            <w:r w:rsidRPr="00A33FEE">
              <w:t xml:space="preserve"> 1,636,949 </w:t>
            </w:r>
          </w:p>
        </w:tc>
        <w:tc>
          <w:tcPr>
            <w:tcW w:w="1815" w:type="dxa"/>
            <w:vAlign w:val="center"/>
          </w:tcPr>
          <w:p w:rsidR="00AA7F69" w:rsidRDefault="00AA7F69" w:rsidP="006916CE">
            <w:pPr>
              <w:pStyle w:val="TableTextSmall"/>
              <w:keepNext/>
              <w:jc w:val="right"/>
            </w:pPr>
            <w:r w:rsidRPr="00A33FEE">
              <w:t xml:space="preserve"> 6,135,125 </w:t>
            </w:r>
          </w:p>
        </w:tc>
        <w:tc>
          <w:tcPr>
            <w:tcW w:w="1701" w:type="dxa"/>
            <w:vAlign w:val="center"/>
          </w:tcPr>
          <w:p w:rsidR="00AA7F69" w:rsidRDefault="00AA7F69" w:rsidP="006916CE">
            <w:pPr>
              <w:pStyle w:val="TableTextSmall"/>
              <w:keepNext/>
              <w:jc w:val="right"/>
            </w:pPr>
            <w:r w:rsidRPr="00A33FEE">
              <w:t xml:space="preserve"> 7,772,074 </w:t>
            </w:r>
          </w:p>
        </w:tc>
        <w:tc>
          <w:tcPr>
            <w:tcW w:w="1779" w:type="dxa"/>
            <w:vAlign w:val="center"/>
          </w:tcPr>
          <w:p w:rsidR="00AA7F69" w:rsidRDefault="00AA7F69" w:rsidP="006916CE">
            <w:pPr>
              <w:pStyle w:val="TableTextSmall"/>
              <w:keepNext/>
              <w:jc w:val="right"/>
            </w:pPr>
            <w:r w:rsidRPr="00A33FEE">
              <w:t xml:space="preserve"> 3 </w:t>
            </w:r>
          </w:p>
        </w:tc>
      </w:tr>
      <w:tr w:rsidR="00AA7F69" w:rsidTr="006916CE">
        <w:tc>
          <w:tcPr>
            <w:tcW w:w="2376" w:type="dxa"/>
            <w:vAlign w:val="center"/>
          </w:tcPr>
          <w:p w:rsidR="00AA7F69" w:rsidRDefault="00AA7F69" w:rsidP="006916CE">
            <w:pPr>
              <w:pStyle w:val="TableTextSmall"/>
              <w:keepNext/>
            </w:pPr>
            <w:r w:rsidRPr="00A33FEE">
              <w:t>Surf Coast (S)</w:t>
            </w:r>
          </w:p>
        </w:tc>
        <w:tc>
          <w:tcPr>
            <w:tcW w:w="4678" w:type="dxa"/>
            <w:vAlign w:val="center"/>
          </w:tcPr>
          <w:p w:rsidR="00AA7F69" w:rsidRDefault="00AA7F69" w:rsidP="006916CE">
            <w:pPr>
              <w:pStyle w:val="TableTextSmall"/>
              <w:keepNext/>
            </w:pPr>
            <w:r w:rsidRPr="00A33FEE">
              <w:t>Surf Coast (S)</w:t>
            </w:r>
          </w:p>
        </w:tc>
        <w:tc>
          <w:tcPr>
            <w:tcW w:w="1701" w:type="dxa"/>
            <w:vAlign w:val="center"/>
          </w:tcPr>
          <w:p w:rsidR="00AA7F69" w:rsidRDefault="00AA7F69" w:rsidP="006916CE">
            <w:pPr>
              <w:pStyle w:val="TableTextSmall"/>
              <w:keepNext/>
              <w:jc w:val="right"/>
            </w:pPr>
            <w:r w:rsidRPr="00A33FEE">
              <w:t xml:space="preserve"> 3,188,416 </w:t>
            </w:r>
          </w:p>
        </w:tc>
        <w:tc>
          <w:tcPr>
            <w:tcW w:w="1815" w:type="dxa"/>
            <w:vAlign w:val="center"/>
          </w:tcPr>
          <w:p w:rsidR="00AA7F69" w:rsidRDefault="00AA7F69" w:rsidP="006916CE">
            <w:pPr>
              <w:pStyle w:val="TableTextSmall"/>
              <w:keepNext/>
              <w:jc w:val="right"/>
            </w:pPr>
            <w:r w:rsidRPr="00A33FEE">
              <w:t xml:space="preserve"> 4,492,145 </w:t>
            </w:r>
          </w:p>
        </w:tc>
        <w:tc>
          <w:tcPr>
            <w:tcW w:w="1701" w:type="dxa"/>
            <w:vAlign w:val="center"/>
          </w:tcPr>
          <w:p w:rsidR="00AA7F69" w:rsidRDefault="00AA7F69" w:rsidP="006916CE">
            <w:pPr>
              <w:pStyle w:val="TableTextSmall"/>
              <w:keepNext/>
              <w:jc w:val="right"/>
            </w:pPr>
            <w:r w:rsidRPr="00A33FEE">
              <w:t xml:space="preserve"> 7,680,561 </w:t>
            </w:r>
          </w:p>
        </w:tc>
        <w:tc>
          <w:tcPr>
            <w:tcW w:w="1779" w:type="dxa"/>
            <w:vAlign w:val="center"/>
          </w:tcPr>
          <w:p w:rsidR="00AA7F69" w:rsidRDefault="00AA7F69" w:rsidP="006916CE">
            <w:pPr>
              <w:pStyle w:val="TableTextSmall"/>
              <w:keepNext/>
              <w:jc w:val="right"/>
            </w:pPr>
            <w:r w:rsidRPr="00A33FEE">
              <w:t xml:space="preserve"> 3 </w:t>
            </w:r>
          </w:p>
        </w:tc>
      </w:tr>
      <w:tr w:rsidR="00AA7F69" w:rsidTr="006916CE">
        <w:tc>
          <w:tcPr>
            <w:tcW w:w="2376" w:type="dxa"/>
            <w:vAlign w:val="center"/>
          </w:tcPr>
          <w:p w:rsidR="00AA7F69" w:rsidRDefault="00AA7F69" w:rsidP="006916CE">
            <w:pPr>
              <w:pStyle w:val="TableTextSmall"/>
              <w:keepNext/>
            </w:pPr>
            <w:r w:rsidRPr="00A33FEE">
              <w:t>Outer North East</w:t>
            </w:r>
          </w:p>
        </w:tc>
        <w:tc>
          <w:tcPr>
            <w:tcW w:w="4678" w:type="dxa"/>
            <w:vAlign w:val="center"/>
          </w:tcPr>
          <w:p w:rsidR="00AA7F69" w:rsidRDefault="00AA7F69" w:rsidP="006916CE">
            <w:pPr>
              <w:pStyle w:val="TableTextSmall"/>
              <w:keepNext/>
            </w:pPr>
            <w:r w:rsidRPr="00A33FEE">
              <w:t>Indigo (S),Towong (S),Wodonga (RC)</w:t>
            </w:r>
          </w:p>
        </w:tc>
        <w:tc>
          <w:tcPr>
            <w:tcW w:w="1701" w:type="dxa"/>
            <w:vAlign w:val="center"/>
          </w:tcPr>
          <w:p w:rsidR="00AA7F69" w:rsidRDefault="00AA7F69" w:rsidP="006916CE">
            <w:pPr>
              <w:pStyle w:val="TableTextSmall"/>
              <w:keepNext/>
              <w:jc w:val="right"/>
            </w:pPr>
            <w:r w:rsidRPr="00A33FEE">
              <w:t xml:space="preserve"> 2,210,313 </w:t>
            </w:r>
          </w:p>
        </w:tc>
        <w:tc>
          <w:tcPr>
            <w:tcW w:w="1815" w:type="dxa"/>
            <w:vAlign w:val="center"/>
          </w:tcPr>
          <w:p w:rsidR="00AA7F69" w:rsidRDefault="00AA7F69" w:rsidP="006916CE">
            <w:pPr>
              <w:pStyle w:val="TableTextSmall"/>
              <w:keepNext/>
              <w:jc w:val="right"/>
            </w:pPr>
            <w:r w:rsidRPr="00A33FEE">
              <w:t xml:space="preserve"> 3,759,592 </w:t>
            </w:r>
          </w:p>
        </w:tc>
        <w:tc>
          <w:tcPr>
            <w:tcW w:w="1701" w:type="dxa"/>
            <w:vAlign w:val="center"/>
          </w:tcPr>
          <w:p w:rsidR="00AA7F69" w:rsidRDefault="00AA7F69" w:rsidP="006916CE">
            <w:pPr>
              <w:pStyle w:val="TableTextSmall"/>
              <w:keepNext/>
              <w:jc w:val="right"/>
            </w:pPr>
            <w:r w:rsidRPr="00A33FEE">
              <w:t xml:space="preserve"> 5,969,905 </w:t>
            </w:r>
          </w:p>
        </w:tc>
        <w:tc>
          <w:tcPr>
            <w:tcW w:w="1779" w:type="dxa"/>
            <w:vAlign w:val="center"/>
          </w:tcPr>
          <w:p w:rsidR="00AA7F69" w:rsidRDefault="00AA7F69" w:rsidP="006916CE">
            <w:pPr>
              <w:pStyle w:val="TableTextSmall"/>
              <w:keepNext/>
              <w:jc w:val="right"/>
            </w:pPr>
            <w:r w:rsidRPr="00A33FEE">
              <w:t xml:space="preserve"> 2 </w:t>
            </w:r>
          </w:p>
        </w:tc>
      </w:tr>
      <w:tr w:rsidR="00AA7F69" w:rsidTr="006916CE">
        <w:tc>
          <w:tcPr>
            <w:tcW w:w="2376" w:type="dxa"/>
            <w:vAlign w:val="center"/>
          </w:tcPr>
          <w:p w:rsidR="00AA7F69" w:rsidRDefault="00AA7F69" w:rsidP="006916CE">
            <w:pPr>
              <w:pStyle w:val="TableTextSmall"/>
              <w:keepNext/>
            </w:pPr>
            <w:r w:rsidRPr="00A33FEE">
              <w:t>Greater Bendigo (C)</w:t>
            </w:r>
          </w:p>
        </w:tc>
        <w:tc>
          <w:tcPr>
            <w:tcW w:w="4678" w:type="dxa"/>
            <w:vAlign w:val="center"/>
          </w:tcPr>
          <w:p w:rsidR="00AA7F69" w:rsidRDefault="00AA7F69" w:rsidP="006916CE">
            <w:pPr>
              <w:pStyle w:val="TableTextSmall"/>
              <w:keepNext/>
            </w:pPr>
            <w:r w:rsidRPr="00A33FEE">
              <w:t>Greater Bendigo (C)</w:t>
            </w:r>
          </w:p>
        </w:tc>
        <w:tc>
          <w:tcPr>
            <w:tcW w:w="1701" w:type="dxa"/>
            <w:vAlign w:val="center"/>
          </w:tcPr>
          <w:p w:rsidR="00AA7F69" w:rsidRDefault="00AA7F69" w:rsidP="006916CE">
            <w:pPr>
              <w:pStyle w:val="TableTextSmall"/>
              <w:keepNext/>
              <w:jc w:val="right"/>
            </w:pPr>
            <w:r w:rsidRPr="00A33FEE">
              <w:t xml:space="preserve"> 2,043,972 </w:t>
            </w:r>
          </w:p>
        </w:tc>
        <w:tc>
          <w:tcPr>
            <w:tcW w:w="1815" w:type="dxa"/>
            <w:vAlign w:val="center"/>
          </w:tcPr>
          <w:p w:rsidR="00AA7F69" w:rsidRDefault="00AA7F69" w:rsidP="006916CE">
            <w:pPr>
              <w:pStyle w:val="TableTextSmall"/>
              <w:keepNext/>
              <w:jc w:val="right"/>
            </w:pPr>
            <w:r w:rsidRPr="00A33FEE">
              <w:t xml:space="preserve"> 3,643,394 </w:t>
            </w:r>
          </w:p>
        </w:tc>
        <w:tc>
          <w:tcPr>
            <w:tcW w:w="1701" w:type="dxa"/>
            <w:vAlign w:val="center"/>
          </w:tcPr>
          <w:p w:rsidR="00AA7F69" w:rsidRDefault="00AA7F69" w:rsidP="006916CE">
            <w:pPr>
              <w:pStyle w:val="TableTextSmall"/>
              <w:keepNext/>
              <w:jc w:val="right"/>
            </w:pPr>
            <w:r w:rsidRPr="00A33FEE">
              <w:t xml:space="preserve"> 5,687,366 </w:t>
            </w:r>
          </w:p>
        </w:tc>
        <w:tc>
          <w:tcPr>
            <w:tcW w:w="1779" w:type="dxa"/>
            <w:vAlign w:val="center"/>
          </w:tcPr>
          <w:p w:rsidR="00AA7F69" w:rsidRDefault="00AA7F69" w:rsidP="006916CE">
            <w:pPr>
              <w:pStyle w:val="TableTextSmall"/>
              <w:keepNext/>
              <w:jc w:val="right"/>
            </w:pPr>
            <w:r w:rsidRPr="00A33FEE">
              <w:t xml:space="preserve"> 2 </w:t>
            </w:r>
          </w:p>
        </w:tc>
      </w:tr>
      <w:tr w:rsidR="00AA7F69" w:rsidTr="006916CE">
        <w:tc>
          <w:tcPr>
            <w:tcW w:w="2376" w:type="dxa"/>
            <w:vAlign w:val="center"/>
          </w:tcPr>
          <w:p w:rsidR="00AA7F69" w:rsidRDefault="00AA7F69" w:rsidP="006916CE">
            <w:pPr>
              <w:pStyle w:val="TableTextSmall"/>
              <w:keepNext/>
            </w:pPr>
            <w:r w:rsidRPr="00A33FEE">
              <w:t>Northern Grampians (S)</w:t>
            </w:r>
          </w:p>
        </w:tc>
        <w:tc>
          <w:tcPr>
            <w:tcW w:w="4678" w:type="dxa"/>
            <w:vAlign w:val="center"/>
          </w:tcPr>
          <w:p w:rsidR="00AA7F69" w:rsidRDefault="00AA7F69" w:rsidP="006916CE">
            <w:pPr>
              <w:pStyle w:val="TableTextSmall"/>
              <w:keepNext/>
            </w:pPr>
            <w:r w:rsidRPr="00A33FEE">
              <w:t>Northern Grampians (S)</w:t>
            </w:r>
          </w:p>
        </w:tc>
        <w:tc>
          <w:tcPr>
            <w:tcW w:w="1701" w:type="dxa"/>
            <w:vAlign w:val="center"/>
          </w:tcPr>
          <w:p w:rsidR="00AA7F69" w:rsidRDefault="00AA7F69" w:rsidP="006916CE">
            <w:pPr>
              <w:pStyle w:val="TableTextSmall"/>
              <w:keepNext/>
              <w:jc w:val="right"/>
            </w:pPr>
            <w:r w:rsidRPr="00A33FEE">
              <w:t xml:space="preserve"> 2,433,679 </w:t>
            </w:r>
          </w:p>
        </w:tc>
        <w:tc>
          <w:tcPr>
            <w:tcW w:w="1815" w:type="dxa"/>
            <w:vAlign w:val="center"/>
          </w:tcPr>
          <w:p w:rsidR="00AA7F69" w:rsidRDefault="00AA7F69" w:rsidP="006916CE">
            <w:pPr>
              <w:pStyle w:val="TableTextSmall"/>
              <w:keepNext/>
              <w:jc w:val="right"/>
            </w:pPr>
            <w:r w:rsidRPr="00A33FEE">
              <w:t xml:space="preserve"> 2,600,303 </w:t>
            </w:r>
          </w:p>
        </w:tc>
        <w:tc>
          <w:tcPr>
            <w:tcW w:w="1701" w:type="dxa"/>
            <w:vAlign w:val="center"/>
          </w:tcPr>
          <w:p w:rsidR="00AA7F69" w:rsidRDefault="00AA7F69" w:rsidP="006916CE">
            <w:pPr>
              <w:pStyle w:val="TableTextSmall"/>
              <w:keepNext/>
              <w:jc w:val="right"/>
            </w:pPr>
            <w:r w:rsidRPr="00A33FEE">
              <w:t xml:space="preserve"> 5,033,982 </w:t>
            </w:r>
          </w:p>
        </w:tc>
        <w:tc>
          <w:tcPr>
            <w:tcW w:w="1779" w:type="dxa"/>
            <w:vAlign w:val="center"/>
          </w:tcPr>
          <w:p w:rsidR="00AA7F69" w:rsidRDefault="00AA7F69" w:rsidP="006916CE">
            <w:pPr>
              <w:pStyle w:val="TableTextSmall"/>
              <w:keepNext/>
              <w:jc w:val="right"/>
            </w:pPr>
            <w:r w:rsidRPr="00A33FEE">
              <w:t xml:space="preserve"> 2 </w:t>
            </w:r>
          </w:p>
        </w:tc>
      </w:tr>
      <w:tr w:rsidR="00AA7F69" w:rsidTr="006916CE">
        <w:tc>
          <w:tcPr>
            <w:tcW w:w="2376" w:type="dxa"/>
            <w:vAlign w:val="center"/>
          </w:tcPr>
          <w:p w:rsidR="00AA7F69" w:rsidRDefault="00AA7F69" w:rsidP="006916CE">
            <w:pPr>
              <w:pStyle w:val="TableTextSmall"/>
              <w:keepNext/>
            </w:pPr>
            <w:r w:rsidRPr="00A33FEE">
              <w:t>Inner North East</w:t>
            </w:r>
          </w:p>
        </w:tc>
        <w:tc>
          <w:tcPr>
            <w:tcW w:w="4678" w:type="dxa"/>
            <w:vAlign w:val="center"/>
          </w:tcPr>
          <w:p w:rsidR="00AA7F69" w:rsidRDefault="00AA7F69" w:rsidP="006916CE">
            <w:pPr>
              <w:pStyle w:val="TableTextSmall"/>
              <w:keepNext/>
            </w:pPr>
            <w:r w:rsidRPr="00A33FEE">
              <w:t>Mitchell (S),Murrindindi (S)</w:t>
            </w:r>
          </w:p>
        </w:tc>
        <w:tc>
          <w:tcPr>
            <w:tcW w:w="1701" w:type="dxa"/>
            <w:vAlign w:val="center"/>
          </w:tcPr>
          <w:p w:rsidR="00AA7F69" w:rsidRDefault="00AA7F69" w:rsidP="006916CE">
            <w:pPr>
              <w:pStyle w:val="TableTextSmall"/>
              <w:keepNext/>
              <w:jc w:val="right"/>
            </w:pPr>
            <w:r w:rsidRPr="00A33FEE">
              <w:t xml:space="preserve"> 1,784,529 </w:t>
            </w:r>
          </w:p>
        </w:tc>
        <w:tc>
          <w:tcPr>
            <w:tcW w:w="1815" w:type="dxa"/>
            <w:vAlign w:val="center"/>
          </w:tcPr>
          <w:p w:rsidR="00AA7F69" w:rsidRDefault="00AA7F69" w:rsidP="006916CE">
            <w:pPr>
              <w:pStyle w:val="TableTextSmall"/>
              <w:keepNext/>
              <w:jc w:val="right"/>
            </w:pPr>
            <w:r w:rsidRPr="00A33FEE">
              <w:t xml:space="preserve"> 3,183,045 </w:t>
            </w:r>
          </w:p>
        </w:tc>
        <w:tc>
          <w:tcPr>
            <w:tcW w:w="1701" w:type="dxa"/>
            <w:vAlign w:val="center"/>
          </w:tcPr>
          <w:p w:rsidR="00AA7F69" w:rsidRDefault="00AA7F69" w:rsidP="006916CE">
            <w:pPr>
              <w:pStyle w:val="TableTextSmall"/>
              <w:keepNext/>
              <w:jc w:val="right"/>
            </w:pPr>
            <w:r w:rsidRPr="00A33FEE">
              <w:t xml:space="preserve"> 4,967,574 </w:t>
            </w:r>
          </w:p>
        </w:tc>
        <w:tc>
          <w:tcPr>
            <w:tcW w:w="1779" w:type="dxa"/>
            <w:vAlign w:val="center"/>
          </w:tcPr>
          <w:p w:rsidR="00AA7F69" w:rsidRDefault="00AA7F69" w:rsidP="006916CE">
            <w:pPr>
              <w:pStyle w:val="TableTextSmall"/>
              <w:keepNext/>
              <w:jc w:val="right"/>
            </w:pPr>
            <w:r w:rsidRPr="00A33FEE">
              <w:t xml:space="preserve"> 2 </w:t>
            </w:r>
          </w:p>
        </w:tc>
      </w:tr>
      <w:tr w:rsidR="00AA7F69" w:rsidTr="006916CE">
        <w:tc>
          <w:tcPr>
            <w:tcW w:w="2376" w:type="dxa"/>
            <w:vAlign w:val="center"/>
          </w:tcPr>
          <w:p w:rsidR="00AA7F69" w:rsidRDefault="00AA7F69" w:rsidP="006916CE">
            <w:pPr>
              <w:pStyle w:val="TableTextSmall"/>
              <w:keepNext/>
            </w:pPr>
            <w:r w:rsidRPr="00A33FEE">
              <w:t>Greater Geelong (C)</w:t>
            </w:r>
          </w:p>
        </w:tc>
        <w:tc>
          <w:tcPr>
            <w:tcW w:w="4678" w:type="dxa"/>
            <w:vAlign w:val="center"/>
          </w:tcPr>
          <w:p w:rsidR="00AA7F69" w:rsidRDefault="00AA7F69" w:rsidP="006916CE">
            <w:pPr>
              <w:pStyle w:val="TableTextSmall"/>
              <w:keepNext/>
            </w:pPr>
            <w:r w:rsidRPr="00A33FEE">
              <w:t>Greater Geelong (C)</w:t>
            </w:r>
          </w:p>
        </w:tc>
        <w:tc>
          <w:tcPr>
            <w:tcW w:w="1701" w:type="dxa"/>
            <w:vAlign w:val="center"/>
          </w:tcPr>
          <w:p w:rsidR="00AA7F69" w:rsidRDefault="00AA7F69" w:rsidP="006916CE">
            <w:pPr>
              <w:pStyle w:val="TableTextSmall"/>
              <w:keepNext/>
              <w:jc w:val="right"/>
            </w:pPr>
            <w:r w:rsidRPr="00A33FEE">
              <w:t xml:space="preserve"> 1,574,096 </w:t>
            </w:r>
          </w:p>
        </w:tc>
        <w:tc>
          <w:tcPr>
            <w:tcW w:w="1815" w:type="dxa"/>
            <w:vAlign w:val="center"/>
          </w:tcPr>
          <w:p w:rsidR="00AA7F69" w:rsidRDefault="00AA7F69" w:rsidP="006916CE">
            <w:pPr>
              <w:pStyle w:val="TableTextSmall"/>
              <w:keepNext/>
              <w:jc w:val="right"/>
            </w:pPr>
            <w:r w:rsidRPr="00A33FEE">
              <w:t xml:space="preserve"> 3,210,826 </w:t>
            </w:r>
          </w:p>
        </w:tc>
        <w:tc>
          <w:tcPr>
            <w:tcW w:w="1701" w:type="dxa"/>
            <w:vAlign w:val="center"/>
          </w:tcPr>
          <w:p w:rsidR="00AA7F69" w:rsidRDefault="00AA7F69" w:rsidP="006916CE">
            <w:pPr>
              <w:pStyle w:val="TableTextSmall"/>
              <w:keepNext/>
              <w:jc w:val="right"/>
            </w:pPr>
            <w:r w:rsidRPr="00A33FEE">
              <w:t xml:space="preserve"> 4,784,922 </w:t>
            </w:r>
          </w:p>
        </w:tc>
        <w:tc>
          <w:tcPr>
            <w:tcW w:w="1779" w:type="dxa"/>
            <w:vAlign w:val="center"/>
          </w:tcPr>
          <w:p w:rsidR="00AA7F69" w:rsidRDefault="00AA7F69" w:rsidP="006916CE">
            <w:pPr>
              <w:pStyle w:val="TableTextSmall"/>
              <w:keepNext/>
              <w:jc w:val="right"/>
            </w:pPr>
            <w:r w:rsidRPr="00A33FEE">
              <w:t xml:space="preserve"> 2 </w:t>
            </w:r>
          </w:p>
        </w:tc>
      </w:tr>
      <w:tr w:rsidR="00AA7F69" w:rsidTr="006916CE">
        <w:tc>
          <w:tcPr>
            <w:tcW w:w="2376" w:type="dxa"/>
            <w:vAlign w:val="center"/>
          </w:tcPr>
          <w:p w:rsidR="00AA7F69" w:rsidRDefault="00AA7F69" w:rsidP="006916CE">
            <w:pPr>
              <w:pStyle w:val="TableTextSmall"/>
              <w:keepNext/>
            </w:pPr>
            <w:r w:rsidRPr="00A33FEE">
              <w:t>Wellington (S)</w:t>
            </w:r>
          </w:p>
        </w:tc>
        <w:tc>
          <w:tcPr>
            <w:tcW w:w="4678" w:type="dxa"/>
            <w:vAlign w:val="center"/>
          </w:tcPr>
          <w:p w:rsidR="00AA7F69" w:rsidRDefault="00AA7F69" w:rsidP="006916CE">
            <w:pPr>
              <w:pStyle w:val="TableTextSmall"/>
              <w:keepNext/>
            </w:pPr>
            <w:r w:rsidRPr="00A33FEE">
              <w:t>Wellington (S)</w:t>
            </w:r>
          </w:p>
        </w:tc>
        <w:tc>
          <w:tcPr>
            <w:tcW w:w="1701" w:type="dxa"/>
            <w:vAlign w:val="center"/>
          </w:tcPr>
          <w:p w:rsidR="00AA7F69" w:rsidRDefault="00AA7F69" w:rsidP="006916CE">
            <w:pPr>
              <w:pStyle w:val="TableTextSmall"/>
              <w:keepNext/>
              <w:jc w:val="right"/>
            </w:pPr>
            <w:r w:rsidRPr="00A33FEE">
              <w:t xml:space="preserve"> 1,294,702 </w:t>
            </w:r>
          </w:p>
        </w:tc>
        <w:tc>
          <w:tcPr>
            <w:tcW w:w="1815" w:type="dxa"/>
            <w:vAlign w:val="center"/>
          </w:tcPr>
          <w:p w:rsidR="00AA7F69" w:rsidRDefault="00AA7F69" w:rsidP="006916CE">
            <w:pPr>
              <w:pStyle w:val="TableTextSmall"/>
              <w:keepNext/>
              <w:jc w:val="right"/>
            </w:pPr>
            <w:r w:rsidRPr="00A33FEE">
              <w:t xml:space="preserve"> 2,145,821 </w:t>
            </w:r>
          </w:p>
        </w:tc>
        <w:tc>
          <w:tcPr>
            <w:tcW w:w="1701" w:type="dxa"/>
            <w:vAlign w:val="center"/>
          </w:tcPr>
          <w:p w:rsidR="00AA7F69" w:rsidRDefault="00AA7F69" w:rsidP="006916CE">
            <w:pPr>
              <w:pStyle w:val="TableTextSmall"/>
              <w:keepNext/>
              <w:jc w:val="right"/>
            </w:pPr>
            <w:r w:rsidRPr="00A33FEE">
              <w:t xml:space="preserve"> 3,440,523 </w:t>
            </w:r>
          </w:p>
        </w:tc>
        <w:tc>
          <w:tcPr>
            <w:tcW w:w="1779" w:type="dxa"/>
            <w:vAlign w:val="center"/>
          </w:tcPr>
          <w:p w:rsidR="00AA7F69" w:rsidRDefault="00AA7F69" w:rsidP="006916CE">
            <w:pPr>
              <w:pStyle w:val="TableTextSmall"/>
              <w:keepNext/>
              <w:jc w:val="right"/>
            </w:pPr>
            <w:r w:rsidRPr="00A33FEE">
              <w:t xml:space="preserve"> 1 </w:t>
            </w:r>
          </w:p>
        </w:tc>
      </w:tr>
      <w:tr w:rsidR="00AA7F69" w:rsidTr="006916CE">
        <w:tc>
          <w:tcPr>
            <w:tcW w:w="2376" w:type="dxa"/>
            <w:vAlign w:val="center"/>
          </w:tcPr>
          <w:p w:rsidR="00AA7F69" w:rsidRDefault="00AA7F69" w:rsidP="006916CE">
            <w:pPr>
              <w:pStyle w:val="TableTextSmall"/>
              <w:keepNext/>
            </w:pPr>
            <w:r w:rsidRPr="00A33FEE">
              <w:t>Colac-Otway (S)</w:t>
            </w:r>
          </w:p>
        </w:tc>
        <w:tc>
          <w:tcPr>
            <w:tcW w:w="4678" w:type="dxa"/>
            <w:vAlign w:val="center"/>
          </w:tcPr>
          <w:p w:rsidR="00AA7F69" w:rsidRDefault="00AA7F69" w:rsidP="006916CE">
            <w:pPr>
              <w:pStyle w:val="TableTextSmall"/>
              <w:keepNext/>
            </w:pPr>
            <w:r w:rsidRPr="00A33FEE">
              <w:t>Colac-Otway (S)</w:t>
            </w:r>
          </w:p>
        </w:tc>
        <w:tc>
          <w:tcPr>
            <w:tcW w:w="1701" w:type="dxa"/>
            <w:vAlign w:val="center"/>
          </w:tcPr>
          <w:p w:rsidR="00AA7F69" w:rsidRDefault="00AA7F69" w:rsidP="006916CE">
            <w:pPr>
              <w:pStyle w:val="TableTextSmall"/>
              <w:keepNext/>
              <w:jc w:val="right"/>
            </w:pPr>
            <w:r w:rsidRPr="00A33FEE">
              <w:t xml:space="preserve"> 1,236,918 </w:t>
            </w:r>
          </w:p>
        </w:tc>
        <w:tc>
          <w:tcPr>
            <w:tcW w:w="1815" w:type="dxa"/>
            <w:vAlign w:val="center"/>
          </w:tcPr>
          <w:p w:rsidR="00AA7F69" w:rsidRDefault="00AA7F69" w:rsidP="006916CE">
            <w:pPr>
              <w:pStyle w:val="TableTextSmall"/>
              <w:keepNext/>
              <w:jc w:val="right"/>
            </w:pPr>
            <w:r w:rsidRPr="00A33FEE">
              <w:t xml:space="preserve"> 1,907,440 </w:t>
            </w:r>
          </w:p>
        </w:tc>
        <w:tc>
          <w:tcPr>
            <w:tcW w:w="1701" w:type="dxa"/>
            <w:vAlign w:val="center"/>
          </w:tcPr>
          <w:p w:rsidR="00AA7F69" w:rsidRDefault="00AA7F69" w:rsidP="006916CE">
            <w:pPr>
              <w:pStyle w:val="TableTextSmall"/>
              <w:keepNext/>
              <w:jc w:val="right"/>
            </w:pPr>
            <w:r w:rsidRPr="00A33FEE">
              <w:t xml:space="preserve"> 3,144,358 </w:t>
            </w:r>
          </w:p>
        </w:tc>
        <w:tc>
          <w:tcPr>
            <w:tcW w:w="1779" w:type="dxa"/>
            <w:vAlign w:val="center"/>
          </w:tcPr>
          <w:p w:rsidR="00AA7F69" w:rsidRDefault="00AA7F69" w:rsidP="006916CE">
            <w:pPr>
              <w:pStyle w:val="TableTextSmall"/>
              <w:keepNext/>
              <w:jc w:val="right"/>
            </w:pPr>
            <w:r w:rsidRPr="00A33FEE">
              <w:t xml:space="preserve"> 1 </w:t>
            </w:r>
          </w:p>
        </w:tc>
      </w:tr>
    </w:tbl>
    <w:p w:rsidR="00F72450" w:rsidRDefault="00AA7F69">
      <w:pPr>
        <w:pStyle w:val="Sources"/>
        <w:keepNext/>
      </w:pPr>
      <w:r>
        <w:t>Source: PwC analysis</w:t>
      </w:r>
      <w:r w:rsidR="00332397">
        <w:t>. Supply volumes relate to residential and commercial construction demand.</w:t>
      </w:r>
    </w:p>
    <w:p w:rsidR="00F72450" w:rsidRDefault="00F72450">
      <w:pPr>
        <w:kinsoku/>
        <w:overflowPunct/>
        <w:autoSpaceDE/>
        <w:autoSpaceDN/>
        <w:adjustRightInd/>
        <w:snapToGrid/>
        <w:rPr>
          <w:color w:val="A32020" w:themeColor="text2"/>
          <w:sz w:val="16"/>
        </w:rPr>
      </w:pPr>
      <w:r>
        <w:br w:type="page"/>
      </w:r>
    </w:p>
    <w:p w:rsidR="0029459C" w:rsidRDefault="0029459C" w:rsidP="006916CE">
      <w:pPr>
        <w:pStyle w:val="Heading7"/>
      </w:pPr>
      <w:r>
        <w:t>Limestone</w:t>
      </w:r>
    </w:p>
    <w:p w:rsidR="00A03364" w:rsidRDefault="00A03364" w:rsidP="00A03364">
      <w:pPr>
        <w:pStyle w:val="PwCNormal"/>
      </w:pPr>
      <w:r>
        <w:t xml:space="preserve">As discussed earlier, production of limestone in Victoria is isolated to a select few regions. These are listed in </w:t>
      </w:r>
      <w:r>
        <w:fldChar w:fldCharType="begin"/>
      </w:r>
      <w:r>
        <w:instrText xml:space="preserve"> REF _Ref448150894 \h </w:instrText>
      </w:r>
      <w:r>
        <w:fldChar w:fldCharType="separate"/>
      </w:r>
      <w:r w:rsidR="00E22E13">
        <w:t xml:space="preserve">Table </w:t>
      </w:r>
      <w:r w:rsidR="00E22E13">
        <w:rPr>
          <w:noProof/>
        </w:rPr>
        <w:t>21</w:t>
      </w:r>
      <w:r>
        <w:fldChar w:fldCharType="end"/>
      </w:r>
      <w:r>
        <w:t xml:space="preserve"> ordered by the proportion of Greater Melbourne’s limestone requirements each location is expected to deliver. The Peri-urban region comprising Greater Geelong and Yarra Ranges is by far the largest source for Melbourne’s limestone needs, delivering approximately 70 per cent of the city’s demand. The Outer South West region ranks next with approximately 19 per cent of Greater Melbourne’s demand. </w:t>
      </w:r>
    </w:p>
    <w:p w:rsidR="00A03364" w:rsidRDefault="00A03364" w:rsidP="006916CE">
      <w:pPr>
        <w:pStyle w:val="Caption"/>
      </w:pPr>
      <w:bookmarkStart w:id="225" w:name="_Ref448150894"/>
      <w:r>
        <w:t xml:space="preserve">Table </w:t>
      </w:r>
      <w:fldSimple w:instr=" SEQ Table \* ARABIC ">
        <w:r w:rsidR="00E22E13">
          <w:rPr>
            <w:noProof/>
          </w:rPr>
          <w:t>21</w:t>
        </w:r>
      </w:fldSimple>
      <w:bookmarkEnd w:id="225"/>
      <w:r w:rsidRPr="00B90F66">
        <w:t xml:space="preserve">: Criterion </w:t>
      </w:r>
      <w:r w:rsidR="00916022">
        <w:t>4</w:t>
      </w:r>
      <w:r w:rsidRPr="00B90F66">
        <w:t xml:space="preserve"> – Key supply locations to Greater Melbourne: </w:t>
      </w:r>
      <w:r>
        <w:t>Limestone</w:t>
      </w:r>
    </w:p>
    <w:tbl>
      <w:tblPr>
        <w:tblStyle w:val="Tables-APBase"/>
        <w:tblW w:w="14645" w:type="dxa"/>
        <w:tblLook w:val="04A0" w:firstRow="1" w:lastRow="0" w:firstColumn="1" w:lastColumn="0" w:noHBand="0" w:noVBand="1"/>
        <w:tblCaption w:val="Table 21"/>
        <w:tblDescription w:val="Table 21 shows criterion 4 - key supply locations to Greater Melbourne for limestone.  They are, in descending order, Peri-urban (comprising Greater Geelong and Yarra Ranges), Outer South West (comprising Corangamite, Glenelg, Moyne and Warnambool), Outer North East (comprising East Gippsland, Strathbogie and Wellington), and Outer North West (comprising Hindmarsh, Horsham, Mildura, Swan Hill and Yarriambiack). "/>
      </w:tblPr>
      <w:tblGrid>
        <w:gridCol w:w="2376"/>
        <w:gridCol w:w="4083"/>
        <w:gridCol w:w="2154"/>
        <w:gridCol w:w="2127"/>
        <w:gridCol w:w="2126"/>
        <w:gridCol w:w="1779"/>
      </w:tblGrid>
      <w:tr w:rsidR="00AA7F69" w:rsidTr="00E06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rsidR="00AA7F69" w:rsidRDefault="00AA7F69">
            <w:pPr>
              <w:pStyle w:val="TableColumnHeadingSmall"/>
            </w:pPr>
            <w:r w:rsidRPr="007F5A49">
              <w:t>Region name</w:t>
            </w:r>
          </w:p>
        </w:tc>
        <w:tc>
          <w:tcPr>
            <w:tcW w:w="4083" w:type="dxa"/>
          </w:tcPr>
          <w:p w:rsidR="00AA7F69" w:rsidRDefault="00AA7F69">
            <w:pPr>
              <w:pStyle w:val="TableColumnHeadingSmall"/>
              <w:jc w:val="left"/>
              <w:cnfStyle w:val="100000000000" w:firstRow="1" w:lastRow="0" w:firstColumn="0" w:lastColumn="0" w:oddVBand="0" w:evenVBand="0" w:oddHBand="0" w:evenHBand="0" w:firstRowFirstColumn="0" w:firstRowLastColumn="0" w:lastRowFirstColumn="0" w:lastRowLastColumn="0"/>
            </w:pPr>
            <w:r w:rsidRPr="007F5A49">
              <w:t>LGAs in region</w:t>
            </w:r>
          </w:p>
        </w:tc>
        <w:tc>
          <w:tcPr>
            <w:tcW w:w="2154"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25</w:t>
            </w:r>
            <w:r w:rsidR="00295884">
              <w:t xml:space="preserve"> (tonnes)</w:t>
            </w:r>
          </w:p>
        </w:tc>
        <w:tc>
          <w:tcPr>
            <w:tcW w:w="2127" w:type="dxa"/>
          </w:tcPr>
          <w:p w:rsidR="00AA7F69" w:rsidRDefault="00AA7F69"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2026</w:t>
            </w:r>
            <w:r w:rsidR="00197B03">
              <w:t xml:space="preserve"> to 20</w:t>
            </w:r>
            <w:r w:rsidRPr="007F5A49">
              <w:t>50</w:t>
            </w:r>
            <w:r w:rsidR="00295884">
              <w:t xml:space="preserve"> (tonnes)</w:t>
            </w:r>
          </w:p>
        </w:tc>
        <w:tc>
          <w:tcPr>
            <w:tcW w:w="2126"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50</w:t>
            </w:r>
            <w:r w:rsidR="00295884">
              <w:t xml:space="preserve"> (tonnes)</w:t>
            </w:r>
          </w:p>
        </w:tc>
        <w:tc>
          <w:tcPr>
            <w:tcW w:w="1779"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 of total supply to Greater Melbourne, 2015</w:t>
            </w:r>
            <w:r w:rsidR="00197B03">
              <w:t xml:space="preserve"> to 20</w:t>
            </w:r>
            <w:r w:rsidRPr="007F5A49">
              <w:t>50</w:t>
            </w:r>
          </w:p>
        </w:tc>
      </w:tr>
      <w:tr w:rsidR="00AA7F69" w:rsidTr="00E060CE">
        <w:tc>
          <w:tcPr>
            <w:tcW w:w="2376" w:type="dxa"/>
            <w:vAlign w:val="center"/>
          </w:tcPr>
          <w:p w:rsidR="00AA7F69" w:rsidRDefault="00AA7F69" w:rsidP="006916CE">
            <w:pPr>
              <w:pStyle w:val="TableTextSmall"/>
              <w:keepNext/>
            </w:pPr>
            <w:r w:rsidRPr="006C3577">
              <w:t>Peri-urban</w:t>
            </w:r>
          </w:p>
        </w:tc>
        <w:tc>
          <w:tcPr>
            <w:tcW w:w="4083" w:type="dxa"/>
            <w:vAlign w:val="center"/>
          </w:tcPr>
          <w:p w:rsidR="00AA7F69" w:rsidRDefault="00AA7F69" w:rsidP="006916CE">
            <w:pPr>
              <w:pStyle w:val="TableTextSmall"/>
              <w:keepNext/>
            </w:pPr>
            <w:r w:rsidRPr="006C3577">
              <w:t>Greater Geelong (C),Yarra Ranges (S)</w:t>
            </w:r>
          </w:p>
        </w:tc>
        <w:tc>
          <w:tcPr>
            <w:tcW w:w="2154" w:type="dxa"/>
            <w:vAlign w:val="center"/>
          </w:tcPr>
          <w:p w:rsidR="00AA7F69" w:rsidRDefault="00AA7F69" w:rsidP="006916CE">
            <w:pPr>
              <w:pStyle w:val="TableTextSmall"/>
              <w:keepNext/>
              <w:jc w:val="right"/>
            </w:pPr>
            <w:r w:rsidRPr="006C3577">
              <w:t xml:space="preserve"> 11,990,945 </w:t>
            </w:r>
          </w:p>
        </w:tc>
        <w:tc>
          <w:tcPr>
            <w:tcW w:w="2127" w:type="dxa"/>
            <w:vAlign w:val="center"/>
          </w:tcPr>
          <w:p w:rsidR="00AA7F69" w:rsidRDefault="00AA7F69" w:rsidP="006916CE">
            <w:pPr>
              <w:pStyle w:val="TableTextSmall"/>
              <w:keepNext/>
              <w:jc w:val="right"/>
            </w:pPr>
            <w:r w:rsidRPr="006C3577">
              <w:t xml:space="preserve"> 25,063,133 </w:t>
            </w:r>
          </w:p>
        </w:tc>
        <w:tc>
          <w:tcPr>
            <w:tcW w:w="2126" w:type="dxa"/>
            <w:vAlign w:val="center"/>
          </w:tcPr>
          <w:p w:rsidR="00AA7F69" w:rsidRDefault="00AA7F69" w:rsidP="006916CE">
            <w:pPr>
              <w:pStyle w:val="TableTextSmall"/>
              <w:keepNext/>
              <w:jc w:val="right"/>
            </w:pPr>
            <w:r w:rsidRPr="006C3577">
              <w:t xml:space="preserve"> 37,054,077 </w:t>
            </w:r>
          </w:p>
        </w:tc>
        <w:tc>
          <w:tcPr>
            <w:tcW w:w="1779" w:type="dxa"/>
            <w:vAlign w:val="center"/>
          </w:tcPr>
          <w:p w:rsidR="00AA7F69" w:rsidRDefault="00AA7F69" w:rsidP="006916CE">
            <w:pPr>
              <w:pStyle w:val="TableTextSmall"/>
              <w:keepNext/>
              <w:jc w:val="right"/>
            </w:pPr>
            <w:r w:rsidRPr="0007170B">
              <w:t xml:space="preserve"> 70 </w:t>
            </w:r>
          </w:p>
        </w:tc>
      </w:tr>
      <w:tr w:rsidR="00AA7F69" w:rsidTr="00E060CE">
        <w:tc>
          <w:tcPr>
            <w:tcW w:w="2376" w:type="dxa"/>
            <w:vAlign w:val="center"/>
          </w:tcPr>
          <w:p w:rsidR="00AA7F69" w:rsidRDefault="00AA7F69" w:rsidP="006916CE">
            <w:pPr>
              <w:pStyle w:val="TableTextSmall"/>
              <w:keepNext/>
            </w:pPr>
            <w:r w:rsidRPr="006C3577">
              <w:t>Outer South West</w:t>
            </w:r>
          </w:p>
        </w:tc>
        <w:tc>
          <w:tcPr>
            <w:tcW w:w="4083" w:type="dxa"/>
            <w:vAlign w:val="center"/>
          </w:tcPr>
          <w:p w:rsidR="00AA7F69" w:rsidRDefault="00AA7F69" w:rsidP="006916CE">
            <w:pPr>
              <w:pStyle w:val="TableTextSmall"/>
              <w:keepNext/>
            </w:pPr>
            <w:r w:rsidRPr="006C3577">
              <w:t>Corangamite (S),Glenelg (S),Moyne (S),Warrnambool (C)</w:t>
            </w:r>
          </w:p>
        </w:tc>
        <w:tc>
          <w:tcPr>
            <w:tcW w:w="2154" w:type="dxa"/>
            <w:vAlign w:val="center"/>
          </w:tcPr>
          <w:p w:rsidR="00AA7F69" w:rsidRDefault="00AA7F69" w:rsidP="006916CE">
            <w:pPr>
              <w:pStyle w:val="TableTextSmall"/>
              <w:keepNext/>
              <w:jc w:val="right"/>
            </w:pPr>
            <w:r w:rsidRPr="006C3577">
              <w:t xml:space="preserve"> 4,399,954 </w:t>
            </w:r>
          </w:p>
        </w:tc>
        <w:tc>
          <w:tcPr>
            <w:tcW w:w="2127" w:type="dxa"/>
            <w:vAlign w:val="center"/>
          </w:tcPr>
          <w:p w:rsidR="00AA7F69" w:rsidRDefault="00AA7F69" w:rsidP="006916CE">
            <w:pPr>
              <w:pStyle w:val="TableTextSmall"/>
              <w:keepNext/>
              <w:jc w:val="right"/>
            </w:pPr>
            <w:r w:rsidRPr="006C3577">
              <w:t xml:space="preserve"> 5,885,657 </w:t>
            </w:r>
          </w:p>
        </w:tc>
        <w:tc>
          <w:tcPr>
            <w:tcW w:w="2126" w:type="dxa"/>
            <w:vAlign w:val="center"/>
          </w:tcPr>
          <w:p w:rsidR="00AA7F69" w:rsidRDefault="00AA7F69" w:rsidP="006916CE">
            <w:pPr>
              <w:pStyle w:val="TableTextSmall"/>
              <w:keepNext/>
              <w:jc w:val="right"/>
            </w:pPr>
            <w:r w:rsidRPr="006C3577">
              <w:t xml:space="preserve"> 10,285,611 </w:t>
            </w:r>
          </w:p>
        </w:tc>
        <w:tc>
          <w:tcPr>
            <w:tcW w:w="1779" w:type="dxa"/>
            <w:vAlign w:val="center"/>
          </w:tcPr>
          <w:p w:rsidR="00AA7F69" w:rsidRDefault="00AA7F69" w:rsidP="006916CE">
            <w:pPr>
              <w:pStyle w:val="TableTextSmall"/>
              <w:keepNext/>
              <w:jc w:val="right"/>
            </w:pPr>
            <w:r w:rsidRPr="0007170B">
              <w:t xml:space="preserve"> 19 </w:t>
            </w:r>
          </w:p>
        </w:tc>
      </w:tr>
      <w:tr w:rsidR="00AA7F69" w:rsidTr="00E060CE">
        <w:tc>
          <w:tcPr>
            <w:tcW w:w="2376" w:type="dxa"/>
            <w:vAlign w:val="center"/>
          </w:tcPr>
          <w:p w:rsidR="00AA7F69" w:rsidRDefault="00AA7F69" w:rsidP="006916CE">
            <w:pPr>
              <w:pStyle w:val="TableTextSmall"/>
              <w:keepNext/>
            </w:pPr>
            <w:r w:rsidRPr="006C3577">
              <w:t>Outer North East</w:t>
            </w:r>
          </w:p>
        </w:tc>
        <w:tc>
          <w:tcPr>
            <w:tcW w:w="4083" w:type="dxa"/>
            <w:vAlign w:val="center"/>
          </w:tcPr>
          <w:p w:rsidR="00AA7F69" w:rsidRDefault="00AA7F69" w:rsidP="006916CE">
            <w:pPr>
              <w:pStyle w:val="TableTextSmall"/>
              <w:keepNext/>
            </w:pPr>
            <w:r w:rsidRPr="006C3577">
              <w:t>East Gippsland (S),Strathbogie (S),Wellington (S)</w:t>
            </w:r>
          </w:p>
        </w:tc>
        <w:tc>
          <w:tcPr>
            <w:tcW w:w="2154" w:type="dxa"/>
            <w:vAlign w:val="center"/>
          </w:tcPr>
          <w:p w:rsidR="00AA7F69" w:rsidRDefault="00AA7F69" w:rsidP="006916CE">
            <w:pPr>
              <w:pStyle w:val="TableTextSmall"/>
              <w:keepNext/>
              <w:jc w:val="right"/>
            </w:pPr>
            <w:r w:rsidRPr="006C3577">
              <w:t xml:space="preserve"> 2,267,699 </w:t>
            </w:r>
          </w:p>
        </w:tc>
        <w:tc>
          <w:tcPr>
            <w:tcW w:w="2127" w:type="dxa"/>
            <w:vAlign w:val="center"/>
          </w:tcPr>
          <w:p w:rsidR="00AA7F69" w:rsidRDefault="00AA7F69" w:rsidP="006916CE">
            <w:pPr>
              <w:pStyle w:val="TableTextSmall"/>
              <w:keepNext/>
              <w:jc w:val="right"/>
            </w:pPr>
            <w:r w:rsidRPr="006C3577">
              <w:t xml:space="preserve"> 2,681,596 </w:t>
            </w:r>
          </w:p>
        </w:tc>
        <w:tc>
          <w:tcPr>
            <w:tcW w:w="2126" w:type="dxa"/>
            <w:vAlign w:val="center"/>
          </w:tcPr>
          <w:p w:rsidR="00AA7F69" w:rsidRDefault="00AA7F69" w:rsidP="006916CE">
            <w:pPr>
              <w:pStyle w:val="TableTextSmall"/>
              <w:keepNext/>
              <w:jc w:val="right"/>
            </w:pPr>
            <w:r w:rsidRPr="006C3577">
              <w:t xml:space="preserve"> 4,949,296 </w:t>
            </w:r>
          </w:p>
        </w:tc>
        <w:tc>
          <w:tcPr>
            <w:tcW w:w="1779" w:type="dxa"/>
            <w:vAlign w:val="center"/>
          </w:tcPr>
          <w:p w:rsidR="00AA7F69" w:rsidRDefault="00AA7F69" w:rsidP="006916CE">
            <w:pPr>
              <w:pStyle w:val="TableTextSmall"/>
              <w:keepNext/>
              <w:jc w:val="right"/>
            </w:pPr>
            <w:r w:rsidRPr="0007170B">
              <w:t xml:space="preserve"> 9 </w:t>
            </w:r>
          </w:p>
        </w:tc>
      </w:tr>
      <w:tr w:rsidR="00AA7F69" w:rsidTr="00E060CE">
        <w:tc>
          <w:tcPr>
            <w:tcW w:w="2376" w:type="dxa"/>
            <w:vAlign w:val="center"/>
          </w:tcPr>
          <w:p w:rsidR="00AA7F69" w:rsidRDefault="00AA7F69" w:rsidP="006916CE">
            <w:pPr>
              <w:pStyle w:val="TableTextSmall"/>
              <w:keepNext/>
            </w:pPr>
            <w:r w:rsidRPr="006C3577">
              <w:t>Outer North West</w:t>
            </w:r>
          </w:p>
        </w:tc>
        <w:tc>
          <w:tcPr>
            <w:tcW w:w="4083" w:type="dxa"/>
            <w:vAlign w:val="center"/>
          </w:tcPr>
          <w:p w:rsidR="00AA7F69" w:rsidRDefault="00AA7F69" w:rsidP="006916CE">
            <w:pPr>
              <w:pStyle w:val="TableTextSmall"/>
              <w:keepNext/>
            </w:pPr>
            <w:r w:rsidRPr="006C3577">
              <w:t>Hindmarsh (S),Horsham (RC),Mildura (RC),Swan Hill (RC),Yarriambiack (S)</w:t>
            </w:r>
          </w:p>
        </w:tc>
        <w:tc>
          <w:tcPr>
            <w:tcW w:w="2154" w:type="dxa"/>
            <w:vAlign w:val="center"/>
          </w:tcPr>
          <w:p w:rsidR="00AA7F69" w:rsidRDefault="00AA7F69" w:rsidP="006916CE">
            <w:pPr>
              <w:pStyle w:val="TableTextSmall"/>
              <w:keepNext/>
              <w:jc w:val="right"/>
            </w:pPr>
            <w:r w:rsidRPr="006C3577">
              <w:t xml:space="preserve"> 297,790 </w:t>
            </w:r>
          </w:p>
        </w:tc>
        <w:tc>
          <w:tcPr>
            <w:tcW w:w="2127" w:type="dxa"/>
            <w:vAlign w:val="center"/>
          </w:tcPr>
          <w:p w:rsidR="00AA7F69" w:rsidRDefault="00AA7F69" w:rsidP="006916CE">
            <w:pPr>
              <w:pStyle w:val="TableTextSmall"/>
              <w:keepNext/>
              <w:jc w:val="right"/>
            </w:pPr>
            <w:r w:rsidRPr="006C3577">
              <w:t xml:space="preserve"> 338,315 </w:t>
            </w:r>
          </w:p>
        </w:tc>
        <w:tc>
          <w:tcPr>
            <w:tcW w:w="2126" w:type="dxa"/>
            <w:vAlign w:val="center"/>
          </w:tcPr>
          <w:p w:rsidR="00AA7F69" w:rsidRDefault="00AA7F69" w:rsidP="006916CE">
            <w:pPr>
              <w:pStyle w:val="TableTextSmall"/>
              <w:keepNext/>
              <w:jc w:val="right"/>
            </w:pPr>
            <w:r w:rsidRPr="006C3577">
              <w:t xml:space="preserve"> 636,105 </w:t>
            </w:r>
          </w:p>
        </w:tc>
        <w:tc>
          <w:tcPr>
            <w:tcW w:w="1779" w:type="dxa"/>
            <w:vAlign w:val="center"/>
          </w:tcPr>
          <w:p w:rsidR="00AA7F69" w:rsidRDefault="00AA7F69" w:rsidP="006916CE">
            <w:pPr>
              <w:pStyle w:val="TableTextSmall"/>
              <w:keepNext/>
              <w:jc w:val="right"/>
            </w:pPr>
            <w:r w:rsidRPr="0007170B">
              <w:t xml:space="preserve"> 1 </w:t>
            </w:r>
          </w:p>
        </w:tc>
      </w:tr>
    </w:tbl>
    <w:p w:rsidR="00F72450" w:rsidRDefault="00AA7F69">
      <w:pPr>
        <w:pStyle w:val="Sources"/>
        <w:keepNext/>
      </w:pPr>
      <w:r>
        <w:t>Source: PwC analysis</w:t>
      </w:r>
      <w:r w:rsidR="00332397">
        <w:t>. Supply volumes relate to residential and commercial construction demand.</w:t>
      </w:r>
    </w:p>
    <w:p w:rsidR="00F72450" w:rsidRDefault="00F72450">
      <w:pPr>
        <w:kinsoku/>
        <w:overflowPunct/>
        <w:autoSpaceDE/>
        <w:autoSpaceDN/>
        <w:adjustRightInd/>
        <w:snapToGrid/>
        <w:rPr>
          <w:color w:val="A32020" w:themeColor="text2"/>
          <w:sz w:val="16"/>
        </w:rPr>
      </w:pPr>
      <w:r>
        <w:br w:type="page"/>
      </w:r>
    </w:p>
    <w:p w:rsidR="0029459C" w:rsidRDefault="0029459C" w:rsidP="006916CE">
      <w:pPr>
        <w:pStyle w:val="Heading7"/>
      </w:pPr>
      <w:r>
        <w:t>Clay and clay shale</w:t>
      </w:r>
    </w:p>
    <w:p w:rsidR="00A03364" w:rsidRDefault="00FF3006" w:rsidP="00A03364">
      <w:pPr>
        <w:pStyle w:val="PwCNormal"/>
      </w:pPr>
      <w:r>
        <w:t xml:space="preserve">Key locations supplying clay and clay shale to Greater Melbourne </w:t>
      </w:r>
      <w:r w:rsidR="00A03364">
        <w:t xml:space="preserve">are listed in </w:t>
      </w:r>
      <w:r>
        <w:fldChar w:fldCharType="begin"/>
      </w:r>
      <w:r>
        <w:instrText xml:space="preserve"> REF _Ref448151876 \h </w:instrText>
      </w:r>
      <w:r>
        <w:fldChar w:fldCharType="separate"/>
      </w:r>
      <w:r w:rsidR="00E22E13">
        <w:t xml:space="preserve">Table </w:t>
      </w:r>
      <w:r w:rsidR="00E22E13">
        <w:rPr>
          <w:noProof/>
        </w:rPr>
        <w:t>22</w:t>
      </w:r>
      <w:r>
        <w:fldChar w:fldCharType="end"/>
      </w:r>
      <w:r>
        <w:t xml:space="preserve">, </w:t>
      </w:r>
      <w:r w:rsidR="00A03364">
        <w:t xml:space="preserve">ordered by the proportion of Greater Melbourne’s </w:t>
      </w:r>
      <w:r>
        <w:t xml:space="preserve">clay and clay shale </w:t>
      </w:r>
      <w:r w:rsidR="00A03364">
        <w:t xml:space="preserve">requirements each location is expected to deliver. The </w:t>
      </w:r>
      <w:r>
        <w:t xml:space="preserve">Inner North </w:t>
      </w:r>
      <w:r w:rsidR="00A03364">
        <w:t xml:space="preserve">region comprising </w:t>
      </w:r>
      <w:r>
        <w:t xml:space="preserve">Greater Bendigo, Mitchell and Whittlesea provides for the majority </w:t>
      </w:r>
      <w:r w:rsidR="00A03364">
        <w:t xml:space="preserve">for </w:t>
      </w:r>
      <w:r>
        <w:t xml:space="preserve">Greater </w:t>
      </w:r>
      <w:r w:rsidR="00A03364">
        <w:t xml:space="preserve">Melbourne’s </w:t>
      </w:r>
      <w:r>
        <w:t xml:space="preserve">clay </w:t>
      </w:r>
      <w:r w:rsidR="00A03364">
        <w:t xml:space="preserve">needs, delivering approximately </w:t>
      </w:r>
      <w:r>
        <w:t>50 </w:t>
      </w:r>
      <w:r w:rsidR="00A03364">
        <w:t>per cent of the city’s demand</w:t>
      </w:r>
      <w:r>
        <w:t xml:space="preserve"> across 2015</w:t>
      </w:r>
      <w:r w:rsidR="00197B03">
        <w:t xml:space="preserve"> to 20</w:t>
      </w:r>
      <w:r>
        <w:t xml:space="preserve">50, with the Inner East delivering 25 per cent. </w:t>
      </w:r>
    </w:p>
    <w:p w:rsidR="00A03364" w:rsidRDefault="00A03364" w:rsidP="006916CE">
      <w:pPr>
        <w:pStyle w:val="Caption"/>
      </w:pPr>
      <w:bookmarkStart w:id="226" w:name="_Ref448151876"/>
      <w:r>
        <w:t xml:space="preserve">Table </w:t>
      </w:r>
      <w:fldSimple w:instr=" SEQ Table \* ARABIC ">
        <w:r w:rsidR="00E22E13">
          <w:rPr>
            <w:noProof/>
          </w:rPr>
          <w:t>22</w:t>
        </w:r>
      </w:fldSimple>
      <w:bookmarkEnd w:id="226"/>
      <w:r w:rsidR="00916022">
        <w:t>: Criterion 4</w:t>
      </w:r>
      <w:r w:rsidRPr="00E779F9">
        <w:t xml:space="preserve"> – Key supply locations to Greater Melbourne: </w:t>
      </w:r>
      <w:r>
        <w:t>Clay and clay shale</w:t>
      </w:r>
    </w:p>
    <w:tbl>
      <w:tblPr>
        <w:tblStyle w:val="Tables-APBase"/>
        <w:tblW w:w="14617" w:type="dxa"/>
        <w:tblLook w:val="04A0" w:firstRow="1" w:lastRow="0" w:firstColumn="1" w:lastColumn="0" w:noHBand="0" w:noVBand="1"/>
        <w:tblCaption w:val="Table 22 "/>
        <w:tblDescription w:val="Table 22 shows criterion 4 - key supply locations to Greater Melbourne for clay and clay shale.  They are, in descending order, Inner North (Greater Bendigo, Mitchell, Whittlesea), Inner East (Knox, Mornington Peninsula, Whitehorse and Yarra Ranges), Outer North East (Latrobe, Moira, Wellington), Inner West (Ballarat, Golden Plains, Moorabool), and Outer West (Northern Grampians, Southern Grampians). "/>
      </w:tblPr>
      <w:tblGrid>
        <w:gridCol w:w="2376"/>
        <w:gridCol w:w="4083"/>
        <w:gridCol w:w="2126"/>
        <w:gridCol w:w="2127"/>
        <w:gridCol w:w="2126"/>
        <w:gridCol w:w="1779"/>
      </w:tblGrid>
      <w:tr w:rsidR="00AA7F69" w:rsidTr="00E06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rsidR="00AA7F69" w:rsidRDefault="00AA7F69">
            <w:pPr>
              <w:pStyle w:val="TableColumnHeadingSmall"/>
            </w:pPr>
            <w:r w:rsidRPr="007F5A49">
              <w:t>Region name</w:t>
            </w:r>
          </w:p>
        </w:tc>
        <w:tc>
          <w:tcPr>
            <w:tcW w:w="4083" w:type="dxa"/>
          </w:tcPr>
          <w:p w:rsidR="00AA7F69" w:rsidRDefault="00AA7F69">
            <w:pPr>
              <w:pStyle w:val="TableColumnHeadingSmall"/>
              <w:jc w:val="left"/>
              <w:cnfStyle w:val="100000000000" w:firstRow="1" w:lastRow="0" w:firstColumn="0" w:lastColumn="0" w:oddVBand="0" w:evenVBand="0" w:oddHBand="0" w:evenHBand="0" w:firstRowFirstColumn="0" w:firstRowLastColumn="0" w:lastRowFirstColumn="0" w:lastRowLastColumn="0"/>
            </w:pPr>
            <w:r w:rsidRPr="007F5A49">
              <w:t>LGAs in region</w:t>
            </w:r>
          </w:p>
        </w:tc>
        <w:tc>
          <w:tcPr>
            <w:tcW w:w="2126" w:type="dxa"/>
          </w:tcPr>
          <w:p w:rsidR="00AA7F69" w:rsidRDefault="00AA7F69" w:rsidP="002B100D">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25</w:t>
            </w:r>
            <w:r w:rsidR="00295884">
              <w:t xml:space="preserve"> (tonnes)</w:t>
            </w:r>
          </w:p>
        </w:tc>
        <w:tc>
          <w:tcPr>
            <w:tcW w:w="2127"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2026</w:t>
            </w:r>
            <w:r w:rsidR="00197B03">
              <w:t xml:space="preserve"> to 20</w:t>
            </w:r>
            <w:r w:rsidRPr="007F5A49">
              <w:t>50</w:t>
            </w:r>
            <w:r w:rsidR="00295884">
              <w:t xml:space="preserve"> (tonnes)</w:t>
            </w:r>
          </w:p>
        </w:tc>
        <w:tc>
          <w:tcPr>
            <w:tcW w:w="2126"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Supply to Greater Melbourne, 2015</w:t>
            </w:r>
            <w:r w:rsidR="00197B03">
              <w:t xml:space="preserve"> to 20</w:t>
            </w:r>
            <w:r w:rsidRPr="007F5A49">
              <w:t>50</w:t>
            </w:r>
            <w:r w:rsidR="00295884">
              <w:t xml:space="preserve"> (tonnes)</w:t>
            </w:r>
          </w:p>
        </w:tc>
        <w:tc>
          <w:tcPr>
            <w:tcW w:w="1779" w:type="dxa"/>
          </w:tcPr>
          <w:p w:rsidR="00AA7F69" w:rsidRDefault="00AA7F69">
            <w:pPr>
              <w:pStyle w:val="TableColumnHeadingSmall"/>
              <w:jc w:val="right"/>
              <w:cnfStyle w:val="100000000000" w:firstRow="1" w:lastRow="0" w:firstColumn="0" w:lastColumn="0" w:oddVBand="0" w:evenVBand="0" w:oddHBand="0" w:evenHBand="0" w:firstRowFirstColumn="0" w:firstRowLastColumn="0" w:lastRowFirstColumn="0" w:lastRowLastColumn="0"/>
            </w:pPr>
            <w:r w:rsidRPr="007F5A49">
              <w:t>% of total supply to Greater Melbourne, 2015</w:t>
            </w:r>
            <w:r w:rsidR="00197B03">
              <w:t xml:space="preserve"> to 20</w:t>
            </w:r>
            <w:r w:rsidRPr="007F5A49">
              <w:t>50</w:t>
            </w:r>
          </w:p>
        </w:tc>
      </w:tr>
      <w:tr w:rsidR="00AA7F69" w:rsidTr="00E060CE">
        <w:tc>
          <w:tcPr>
            <w:tcW w:w="2376" w:type="dxa"/>
            <w:vAlign w:val="center"/>
          </w:tcPr>
          <w:p w:rsidR="00AA7F69" w:rsidRDefault="00AA7F69" w:rsidP="006916CE">
            <w:pPr>
              <w:pStyle w:val="TableTextSmall"/>
              <w:keepNext/>
            </w:pPr>
            <w:r w:rsidRPr="001C0FBA">
              <w:t>Inner North</w:t>
            </w:r>
          </w:p>
        </w:tc>
        <w:tc>
          <w:tcPr>
            <w:tcW w:w="4083" w:type="dxa"/>
            <w:vAlign w:val="center"/>
          </w:tcPr>
          <w:p w:rsidR="00AA7F69" w:rsidRDefault="00AA7F69" w:rsidP="006916CE">
            <w:pPr>
              <w:pStyle w:val="TableTextSmall"/>
              <w:keepNext/>
            </w:pPr>
            <w:r w:rsidRPr="001C0FBA">
              <w:t>Greater Bendigo (C),Mitchell (S),Whittlesea (C)</w:t>
            </w:r>
          </w:p>
        </w:tc>
        <w:tc>
          <w:tcPr>
            <w:tcW w:w="2126" w:type="dxa"/>
            <w:vAlign w:val="center"/>
          </w:tcPr>
          <w:p w:rsidR="00AA7F69" w:rsidRDefault="00AA7F69" w:rsidP="006916CE">
            <w:pPr>
              <w:pStyle w:val="TableTextSmall"/>
              <w:keepNext/>
              <w:jc w:val="right"/>
            </w:pPr>
            <w:r w:rsidRPr="001C0FBA">
              <w:t xml:space="preserve"> 2,792,129 </w:t>
            </w:r>
          </w:p>
        </w:tc>
        <w:tc>
          <w:tcPr>
            <w:tcW w:w="2127" w:type="dxa"/>
            <w:vAlign w:val="center"/>
          </w:tcPr>
          <w:p w:rsidR="00AA7F69" w:rsidRDefault="00AA7F69" w:rsidP="006916CE">
            <w:pPr>
              <w:pStyle w:val="TableTextSmall"/>
              <w:keepNext/>
              <w:jc w:val="right"/>
            </w:pPr>
            <w:r w:rsidRPr="001C0FBA">
              <w:t xml:space="preserve"> 7,239,137 </w:t>
            </w:r>
          </w:p>
        </w:tc>
        <w:tc>
          <w:tcPr>
            <w:tcW w:w="2126" w:type="dxa"/>
            <w:vAlign w:val="center"/>
          </w:tcPr>
          <w:p w:rsidR="00AA7F69" w:rsidRDefault="00AA7F69" w:rsidP="006916CE">
            <w:pPr>
              <w:pStyle w:val="TableTextSmall"/>
              <w:keepNext/>
              <w:jc w:val="right"/>
            </w:pPr>
            <w:r w:rsidRPr="001C0FBA">
              <w:t xml:space="preserve"> 10,031,266 </w:t>
            </w:r>
          </w:p>
        </w:tc>
        <w:tc>
          <w:tcPr>
            <w:tcW w:w="1779" w:type="dxa"/>
            <w:vAlign w:val="center"/>
          </w:tcPr>
          <w:p w:rsidR="00AA7F69" w:rsidRDefault="00AA7F69" w:rsidP="006916CE">
            <w:pPr>
              <w:pStyle w:val="TableTextSmall"/>
              <w:keepNext/>
              <w:jc w:val="right"/>
            </w:pPr>
            <w:r w:rsidRPr="009418B7">
              <w:t xml:space="preserve"> 53 </w:t>
            </w:r>
          </w:p>
        </w:tc>
      </w:tr>
      <w:tr w:rsidR="00AA7F69" w:rsidTr="00E060CE">
        <w:tc>
          <w:tcPr>
            <w:tcW w:w="2376" w:type="dxa"/>
            <w:vAlign w:val="center"/>
          </w:tcPr>
          <w:p w:rsidR="00AA7F69" w:rsidRDefault="00AA7F69" w:rsidP="006916CE">
            <w:pPr>
              <w:pStyle w:val="TableTextSmall"/>
              <w:keepNext/>
            </w:pPr>
            <w:r w:rsidRPr="001C0FBA">
              <w:t>Inner East</w:t>
            </w:r>
          </w:p>
        </w:tc>
        <w:tc>
          <w:tcPr>
            <w:tcW w:w="4083" w:type="dxa"/>
            <w:vAlign w:val="center"/>
          </w:tcPr>
          <w:p w:rsidR="00AA7F69" w:rsidRDefault="00AA7F69" w:rsidP="006916CE">
            <w:pPr>
              <w:pStyle w:val="TableTextSmall"/>
              <w:keepNext/>
            </w:pPr>
            <w:r w:rsidRPr="001C0FBA">
              <w:t>Knox (C),Mornington Peninsula (S),Whitehorse (C),Yarra Ranges (S)</w:t>
            </w:r>
          </w:p>
        </w:tc>
        <w:tc>
          <w:tcPr>
            <w:tcW w:w="2126" w:type="dxa"/>
            <w:vAlign w:val="center"/>
          </w:tcPr>
          <w:p w:rsidR="00AA7F69" w:rsidRDefault="00AA7F69" w:rsidP="006916CE">
            <w:pPr>
              <w:pStyle w:val="TableTextSmall"/>
              <w:keepNext/>
              <w:jc w:val="right"/>
            </w:pPr>
            <w:r w:rsidRPr="001C0FBA">
              <w:t xml:space="preserve"> 1,838,342 </w:t>
            </w:r>
          </w:p>
        </w:tc>
        <w:tc>
          <w:tcPr>
            <w:tcW w:w="2127" w:type="dxa"/>
            <w:vAlign w:val="center"/>
          </w:tcPr>
          <w:p w:rsidR="00AA7F69" w:rsidRDefault="00AA7F69" w:rsidP="006916CE">
            <w:pPr>
              <w:pStyle w:val="TableTextSmall"/>
              <w:keepNext/>
              <w:jc w:val="right"/>
            </w:pPr>
            <w:r w:rsidRPr="001C0FBA">
              <w:t xml:space="preserve"> 2,848,046 </w:t>
            </w:r>
          </w:p>
        </w:tc>
        <w:tc>
          <w:tcPr>
            <w:tcW w:w="2126" w:type="dxa"/>
            <w:vAlign w:val="center"/>
          </w:tcPr>
          <w:p w:rsidR="00AA7F69" w:rsidRDefault="00AA7F69" w:rsidP="006916CE">
            <w:pPr>
              <w:pStyle w:val="TableTextSmall"/>
              <w:keepNext/>
              <w:jc w:val="right"/>
            </w:pPr>
            <w:r w:rsidRPr="001C0FBA">
              <w:t xml:space="preserve"> 4,686,388 </w:t>
            </w:r>
          </w:p>
        </w:tc>
        <w:tc>
          <w:tcPr>
            <w:tcW w:w="1779" w:type="dxa"/>
            <w:vAlign w:val="center"/>
          </w:tcPr>
          <w:p w:rsidR="00AA7F69" w:rsidRDefault="00AA7F69" w:rsidP="006916CE">
            <w:pPr>
              <w:pStyle w:val="TableTextSmall"/>
              <w:keepNext/>
              <w:jc w:val="right"/>
            </w:pPr>
            <w:r w:rsidRPr="009418B7">
              <w:t xml:space="preserve"> 25 </w:t>
            </w:r>
          </w:p>
        </w:tc>
      </w:tr>
      <w:tr w:rsidR="00AA7F69" w:rsidTr="00E060CE">
        <w:tc>
          <w:tcPr>
            <w:tcW w:w="2376" w:type="dxa"/>
            <w:vAlign w:val="center"/>
          </w:tcPr>
          <w:p w:rsidR="00AA7F69" w:rsidRDefault="00AA7F69" w:rsidP="006916CE">
            <w:pPr>
              <w:pStyle w:val="TableTextSmall"/>
              <w:keepNext/>
            </w:pPr>
            <w:r w:rsidRPr="001C0FBA">
              <w:t>Outer North East</w:t>
            </w:r>
          </w:p>
        </w:tc>
        <w:tc>
          <w:tcPr>
            <w:tcW w:w="4083" w:type="dxa"/>
            <w:vAlign w:val="center"/>
          </w:tcPr>
          <w:p w:rsidR="00AA7F69" w:rsidRDefault="00AA7F69" w:rsidP="006916CE">
            <w:pPr>
              <w:pStyle w:val="TableTextSmall"/>
              <w:keepNext/>
            </w:pPr>
            <w:r w:rsidRPr="001C0FBA">
              <w:t>Latrobe (C),Moira (S),Wellington (S)</w:t>
            </w:r>
          </w:p>
        </w:tc>
        <w:tc>
          <w:tcPr>
            <w:tcW w:w="2126" w:type="dxa"/>
            <w:vAlign w:val="center"/>
          </w:tcPr>
          <w:p w:rsidR="00AA7F69" w:rsidRDefault="00AA7F69" w:rsidP="006916CE">
            <w:pPr>
              <w:pStyle w:val="TableTextSmall"/>
              <w:keepNext/>
              <w:jc w:val="right"/>
            </w:pPr>
            <w:r w:rsidRPr="001C0FBA">
              <w:t xml:space="preserve"> 1,624,598 </w:t>
            </w:r>
          </w:p>
        </w:tc>
        <w:tc>
          <w:tcPr>
            <w:tcW w:w="2127" w:type="dxa"/>
            <w:vAlign w:val="center"/>
          </w:tcPr>
          <w:p w:rsidR="00AA7F69" w:rsidRDefault="00AA7F69" w:rsidP="006916CE">
            <w:pPr>
              <w:pStyle w:val="TableTextSmall"/>
              <w:keepNext/>
              <w:jc w:val="right"/>
            </w:pPr>
            <w:r w:rsidRPr="001C0FBA">
              <w:t xml:space="preserve"> 1,012,136 </w:t>
            </w:r>
          </w:p>
        </w:tc>
        <w:tc>
          <w:tcPr>
            <w:tcW w:w="2126" w:type="dxa"/>
            <w:vAlign w:val="center"/>
          </w:tcPr>
          <w:p w:rsidR="00AA7F69" w:rsidRDefault="00AA7F69" w:rsidP="006916CE">
            <w:pPr>
              <w:pStyle w:val="TableTextSmall"/>
              <w:keepNext/>
              <w:jc w:val="right"/>
            </w:pPr>
            <w:r w:rsidRPr="001C0FBA">
              <w:t xml:space="preserve"> 2,636,734 </w:t>
            </w:r>
          </w:p>
        </w:tc>
        <w:tc>
          <w:tcPr>
            <w:tcW w:w="1779" w:type="dxa"/>
            <w:vAlign w:val="center"/>
          </w:tcPr>
          <w:p w:rsidR="00AA7F69" w:rsidRDefault="00AA7F69" w:rsidP="006916CE">
            <w:pPr>
              <w:pStyle w:val="TableTextSmall"/>
              <w:keepNext/>
              <w:jc w:val="right"/>
            </w:pPr>
            <w:r w:rsidRPr="009418B7">
              <w:t xml:space="preserve"> 14 </w:t>
            </w:r>
          </w:p>
        </w:tc>
      </w:tr>
      <w:tr w:rsidR="00AA7F69" w:rsidTr="00E060CE">
        <w:tc>
          <w:tcPr>
            <w:tcW w:w="2376" w:type="dxa"/>
            <w:vAlign w:val="center"/>
          </w:tcPr>
          <w:p w:rsidR="00AA7F69" w:rsidRPr="006C3577" w:rsidRDefault="00AA7F69" w:rsidP="006916CE">
            <w:pPr>
              <w:pStyle w:val="TableTextSmall"/>
              <w:keepNext/>
            </w:pPr>
            <w:r w:rsidRPr="001C0FBA">
              <w:t>Inner West</w:t>
            </w:r>
          </w:p>
        </w:tc>
        <w:tc>
          <w:tcPr>
            <w:tcW w:w="4083" w:type="dxa"/>
            <w:vAlign w:val="center"/>
          </w:tcPr>
          <w:p w:rsidR="00AA7F69" w:rsidRPr="006C3577" w:rsidRDefault="00AA7F69" w:rsidP="006916CE">
            <w:pPr>
              <w:pStyle w:val="TableTextSmall"/>
              <w:keepNext/>
            </w:pPr>
            <w:r w:rsidRPr="001C0FBA">
              <w:t>Ballarat (C),Golden Plains (S),Moorabool (S)</w:t>
            </w:r>
          </w:p>
        </w:tc>
        <w:tc>
          <w:tcPr>
            <w:tcW w:w="2126" w:type="dxa"/>
            <w:vAlign w:val="center"/>
          </w:tcPr>
          <w:p w:rsidR="00AA7F69" w:rsidRPr="006C3577" w:rsidRDefault="00AA7F69" w:rsidP="006916CE">
            <w:pPr>
              <w:pStyle w:val="TableTextSmall"/>
              <w:keepNext/>
              <w:jc w:val="right"/>
            </w:pPr>
            <w:r w:rsidRPr="001C0FBA">
              <w:t xml:space="preserve"> 995,559 </w:t>
            </w:r>
          </w:p>
        </w:tc>
        <w:tc>
          <w:tcPr>
            <w:tcW w:w="2127" w:type="dxa"/>
            <w:vAlign w:val="center"/>
          </w:tcPr>
          <w:p w:rsidR="00AA7F69" w:rsidRPr="006C3577" w:rsidRDefault="00AA7F69" w:rsidP="006916CE">
            <w:pPr>
              <w:pStyle w:val="TableTextSmall"/>
              <w:keepNext/>
              <w:jc w:val="right"/>
            </w:pPr>
            <w:r w:rsidRPr="001C0FBA">
              <w:t xml:space="preserve"> 562,950 </w:t>
            </w:r>
          </w:p>
        </w:tc>
        <w:tc>
          <w:tcPr>
            <w:tcW w:w="2126" w:type="dxa"/>
            <w:vAlign w:val="center"/>
          </w:tcPr>
          <w:p w:rsidR="00AA7F69" w:rsidRPr="006C3577" w:rsidRDefault="00AA7F69" w:rsidP="006916CE">
            <w:pPr>
              <w:pStyle w:val="TableTextSmall"/>
              <w:keepNext/>
              <w:jc w:val="right"/>
            </w:pPr>
            <w:r w:rsidRPr="001C0FBA">
              <w:t xml:space="preserve"> 1,558,510 </w:t>
            </w:r>
          </w:p>
        </w:tc>
        <w:tc>
          <w:tcPr>
            <w:tcW w:w="1779" w:type="dxa"/>
            <w:vAlign w:val="center"/>
          </w:tcPr>
          <w:p w:rsidR="00AA7F69" w:rsidRPr="006C3577" w:rsidRDefault="00AA7F69" w:rsidP="006916CE">
            <w:pPr>
              <w:pStyle w:val="TableTextSmall"/>
              <w:keepNext/>
              <w:jc w:val="right"/>
            </w:pPr>
            <w:r w:rsidRPr="009418B7">
              <w:t xml:space="preserve"> 8 </w:t>
            </w:r>
          </w:p>
        </w:tc>
      </w:tr>
      <w:tr w:rsidR="00AA7F69" w:rsidTr="00E060CE">
        <w:tc>
          <w:tcPr>
            <w:tcW w:w="2376" w:type="dxa"/>
            <w:vAlign w:val="center"/>
          </w:tcPr>
          <w:p w:rsidR="00AA7F69" w:rsidRDefault="00AA7F69" w:rsidP="006916CE">
            <w:pPr>
              <w:pStyle w:val="TableTextSmall"/>
              <w:keepNext/>
            </w:pPr>
            <w:r w:rsidRPr="001C0FBA">
              <w:t>Outer West</w:t>
            </w:r>
          </w:p>
        </w:tc>
        <w:tc>
          <w:tcPr>
            <w:tcW w:w="4083" w:type="dxa"/>
            <w:vAlign w:val="center"/>
          </w:tcPr>
          <w:p w:rsidR="00AA7F69" w:rsidRDefault="00AA7F69" w:rsidP="006916CE">
            <w:pPr>
              <w:pStyle w:val="TableTextSmall"/>
              <w:keepNext/>
            </w:pPr>
            <w:r w:rsidRPr="001C0FBA">
              <w:t>Northern Grampians (S),Southern Grampians (S)</w:t>
            </w:r>
          </w:p>
        </w:tc>
        <w:tc>
          <w:tcPr>
            <w:tcW w:w="2126" w:type="dxa"/>
            <w:vAlign w:val="center"/>
          </w:tcPr>
          <w:p w:rsidR="00AA7F69" w:rsidRDefault="00AA7F69" w:rsidP="006916CE">
            <w:pPr>
              <w:pStyle w:val="TableTextSmall"/>
              <w:keepNext/>
              <w:jc w:val="right"/>
            </w:pPr>
            <w:r w:rsidRPr="001C0FBA">
              <w:t xml:space="preserve"> 102,356 </w:t>
            </w:r>
          </w:p>
        </w:tc>
        <w:tc>
          <w:tcPr>
            <w:tcW w:w="2127" w:type="dxa"/>
            <w:vAlign w:val="center"/>
          </w:tcPr>
          <w:p w:rsidR="00AA7F69" w:rsidRDefault="00AA7F69" w:rsidP="006916CE">
            <w:pPr>
              <w:pStyle w:val="TableTextSmall"/>
              <w:keepNext/>
              <w:jc w:val="right"/>
            </w:pPr>
            <w:r w:rsidRPr="001C0FBA">
              <w:t xml:space="preserve"> 45,982 </w:t>
            </w:r>
          </w:p>
        </w:tc>
        <w:tc>
          <w:tcPr>
            <w:tcW w:w="2126" w:type="dxa"/>
            <w:vAlign w:val="center"/>
          </w:tcPr>
          <w:p w:rsidR="00AA7F69" w:rsidRDefault="00AA7F69" w:rsidP="006916CE">
            <w:pPr>
              <w:pStyle w:val="TableTextSmall"/>
              <w:keepNext/>
              <w:jc w:val="right"/>
            </w:pPr>
            <w:r w:rsidRPr="001C0FBA">
              <w:t xml:space="preserve"> 148,338 </w:t>
            </w:r>
          </w:p>
        </w:tc>
        <w:tc>
          <w:tcPr>
            <w:tcW w:w="1779" w:type="dxa"/>
            <w:vAlign w:val="center"/>
          </w:tcPr>
          <w:p w:rsidR="00AA7F69" w:rsidRDefault="00AA7F69" w:rsidP="006916CE">
            <w:pPr>
              <w:pStyle w:val="TableTextSmall"/>
              <w:keepNext/>
              <w:jc w:val="right"/>
            </w:pPr>
            <w:r w:rsidRPr="009418B7">
              <w:t xml:space="preserve"> 1 </w:t>
            </w:r>
          </w:p>
        </w:tc>
      </w:tr>
    </w:tbl>
    <w:p w:rsidR="0029459C" w:rsidRPr="002F1238" w:rsidRDefault="00AA7F69" w:rsidP="006916CE">
      <w:pPr>
        <w:pStyle w:val="Sources"/>
        <w:keepNext/>
      </w:pPr>
      <w:r>
        <w:t>Source: PwC analysis</w:t>
      </w:r>
      <w:r w:rsidR="00332397">
        <w:t>. Supply volumes relate to residential and commercial construction demand.</w:t>
      </w:r>
    </w:p>
    <w:p w:rsidR="00DF5B63" w:rsidRDefault="00DF5B63" w:rsidP="006916CE">
      <w:pPr>
        <w:pStyle w:val="Sources"/>
        <w:sectPr w:rsidR="00DF5B63" w:rsidSect="001A7D05">
          <w:pgSz w:w="16840" w:h="11907" w:orient="landscape" w:code="9"/>
          <w:pgMar w:top="1701" w:right="1588" w:bottom="1843" w:left="1418" w:header="567" w:footer="567" w:gutter="0"/>
          <w:cols w:space="227"/>
          <w:docGrid w:linePitch="360"/>
        </w:sectPr>
      </w:pPr>
      <w:bookmarkStart w:id="227" w:name="_Toc445905921"/>
      <w:bookmarkStart w:id="228" w:name="_Toc445906118"/>
      <w:bookmarkStart w:id="229" w:name="_Toc445973762"/>
    </w:p>
    <w:p w:rsidR="007A30AA" w:rsidRDefault="007A30AA" w:rsidP="006916CE">
      <w:pPr>
        <w:pStyle w:val="Heading2"/>
      </w:pPr>
      <w:bookmarkStart w:id="230" w:name="_Toc448153182"/>
      <w:bookmarkStart w:id="231" w:name="_Toc448917117"/>
      <w:bookmarkStart w:id="232" w:name="_Toc448924824"/>
      <w:bookmarkStart w:id="233" w:name="_Toc448925129"/>
      <w:bookmarkStart w:id="234" w:name="_Toc448935468"/>
      <w:bookmarkStart w:id="235" w:name="_Toc448936087"/>
      <w:bookmarkStart w:id="236" w:name="_Toc449603856"/>
      <w:bookmarkStart w:id="237" w:name="_Toc449603922"/>
      <w:bookmarkStart w:id="238" w:name="_Toc449949931"/>
      <w:bookmarkStart w:id="239" w:name="_Toc449960256"/>
      <w:bookmarkStart w:id="240" w:name="_Toc451239535"/>
      <w:r>
        <w:t>Scenario analysis</w:t>
      </w:r>
      <w:bookmarkEnd w:id="230"/>
      <w:bookmarkEnd w:id="231"/>
      <w:bookmarkEnd w:id="232"/>
      <w:bookmarkEnd w:id="233"/>
      <w:bookmarkEnd w:id="234"/>
      <w:bookmarkEnd w:id="235"/>
      <w:bookmarkEnd w:id="236"/>
      <w:bookmarkEnd w:id="237"/>
      <w:bookmarkEnd w:id="238"/>
      <w:bookmarkEnd w:id="239"/>
      <w:bookmarkEnd w:id="240"/>
    </w:p>
    <w:p w:rsidR="00831650" w:rsidRDefault="00831650" w:rsidP="006916CE">
      <w:pPr>
        <w:pStyle w:val="Heading6"/>
      </w:pPr>
      <w:r>
        <w:t>Overview</w:t>
      </w:r>
    </w:p>
    <w:p w:rsidR="0062588B" w:rsidRDefault="00CC2245" w:rsidP="006916CE">
      <w:pPr>
        <w:pStyle w:val="PwCNormal"/>
      </w:pPr>
      <w:r>
        <w:t>By varying levels and assumptions of both the supply and demand analyses, t</w:t>
      </w:r>
      <w:r w:rsidR="0062588B" w:rsidRPr="0062588B">
        <w:t xml:space="preserve">he </w:t>
      </w:r>
      <w:r w:rsidR="00E344DF">
        <w:t>scenario</w:t>
      </w:r>
      <w:r w:rsidR="00E344DF" w:rsidRPr="0062588B">
        <w:t xml:space="preserve"> </w:t>
      </w:r>
      <w:r w:rsidR="0062588B" w:rsidRPr="0062588B">
        <w:t xml:space="preserve">analysis </w:t>
      </w:r>
      <w:r>
        <w:t>provides some insights into the key drivers of the results</w:t>
      </w:r>
      <w:r w:rsidR="00566DB7">
        <w:t xml:space="preserve">. These scenarios have been implemented on the basis of </w:t>
      </w:r>
      <w:r w:rsidR="00AB02EB">
        <w:t xml:space="preserve">PwC’s </w:t>
      </w:r>
      <w:r w:rsidR="00566DB7">
        <w:t xml:space="preserve">discussions with industry operators, including their views on the outlook of the industry. </w:t>
      </w:r>
    </w:p>
    <w:p w:rsidR="00F12609" w:rsidRPr="006916CE" w:rsidRDefault="00F12609" w:rsidP="006916CE">
      <w:pPr>
        <w:pStyle w:val="Heading6"/>
      </w:pPr>
      <w:r w:rsidRPr="006916CE">
        <w:t>Supply scenarios</w:t>
      </w:r>
    </w:p>
    <w:p w:rsidR="00F12609" w:rsidRPr="006916CE" w:rsidRDefault="00F12609" w:rsidP="00F12609">
      <w:pPr>
        <w:pStyle w:val="PwCNormal"/>
      </w:pPr>
      <w:r w:rsidRPr="006916CE">
        <w:t>Four separate supply scenarios were modelled in the supply analysis to provide a broad picture of potential future outcomes for the industry under differing assumption sets. The scenarios implemented include:</w:t>
      </w:r>
      <w:r w:rsidRPr="006916CE">
        <w:rPr>
          <w:rStyle w:val="FootnoteReference"/>
        </w:rPr>
        <w:footnoteReference w:id="23"/>
      </w:r>
    </w:p>
    <w:p w:rsidR="00F12609" w:rsidRPr="006916CE" w:rsidRDefault="00F12609" w:rsidP="00F12609">
      <w:pPr>
        <w:pStyle w:val="ChapterNumberedList1"/>
      </w:pPr>
      <w:r w:rsidRPr="006916CE">
        <w:rPr>
          <w:b/>
        </w:rPr>
        <w:t>Base case scenario</w:t>
      </w:r>
      <w:r w:rsidRPr="006916CE">
        <w:t>: the base case scenario represents the central analysis scenario under core assumptions</w:t>
      </w:r>
    </w:p>
    <w:p w:rsidR="00F12609" w:rsidRPr="006916CE" w:rsidRDefault="00F12609" w:rsidP="00F12609">
      <w:pPr>
        <w:pStyle w:val="ChapterNumberedList1"/>
      </w:pPr>
      <w:r w:rsidRPr="006916CE">
        <w:rPr>
          <w:b/>
        </w:rPr>
        <w:t>Low supply scenario</w:t>
      </w:r>
      <w:r w:rsidRPr="006916CE">
        <w:t>: under this scenario industry conditions deteriorate and extractive resource outputs shrinks relative to core expectations. This could be prompted by:</w:t>
      </w:r>
    </w:p>
    <w:p w:rsidR="00F12609" w:rsidRPr="006916CE" w:rsidRDefault="00F12609" w:rsidP="00F12609">
      <w:pPr>
        <w:pStyle w:val="ChapterNumberedList2"/>
      </w:pPr>
      <w:r w:rsidRPr="006916CE">
        <w:t>Poor industry outlook among industry participants</w:t>
      </w:r>
    </w:p>
    <w:p w:rsidR="00F12609" w:rsidRPr="006916CE" w:rsidRDefault="00F12609" w:rsidP="00F12609">
      <w:pPr>
        <w:pStyle w:val="ChapterNumberedList2"/>
      </w:pPr>
      <w:r w:rsidRPr="006916CE">
        <w:t>Increased sterilisation of extractive resource deposits due to encroachment</w:t>
      </w:r>
    </w:p>
    <w:p w:rsidR="00806B28" w:rsidRDefault="00F12609" w:rsidP="00F12609">
      <w:pPr>
        <w:pStyle w:val="ChapterNumberedList1"/>
      </w:pPr>
      <w:r w:rsidRPr="006916CE">
        <w:rPr>
          <w:b/>
        </w:rPr>
        <w:t>Medium (redistribution) supply scenario</w:t>
      </w:r>
      <w:r w:rsidRPr="006916CE">
        <w:t xml:space="preserve">: As part of the data gathering process, PwC and its advisors collected information from extractives industry participants on their plans for future WAs, including the locations of these WAs. The base case scenario measures the supply of extractives from current and future planned WAs based on their reported locations in the industry survey. </w:t>
      </w:r>
      <w:r w:rsidRPr="006916CE">
        <w:br/>
      </w:r>
      <w:r w:rsidRPr="006916CE">
        <w:br/>
        <w:t xml:space="preserve">Under the Medium (redistribution) scenario, identified future WAs are assumed to be situated in different locations than those used in the base case. </w:t>
      </w:r>
      <w:r w:rsidRPr="006916CE">
        <w:br/>
      </w:r>
      <w:r w:rsidRPr="006916CE">
        <w:br/>
        <w:t>Rather than the regions specified in the survey for future WAs, these are assumed to be located alongside an existing WA held by the respondent. This leads to a redistribution of future resource deposits with implications for market outcomes across the analysis period.</w:t>
      </w:r>
      <w:r w:rsidRPr="006916CE">
        <w:br/>
      </w:r>
      <w:r w:rsidRPr="006916CE">
        <w:br/>
        <w:t>This scenario has been implemented on the basis of PwC’s discussions with industry operators, which point to the fact that locations proximal to existing licensed resources are likely to be identified for development of future quarries.</w:t>
      </w:r>
    </w:p>
    <w:p w:rsidR="00806B28" w:rsidRDefault="00806B28">
      <w:pPr>
        <w:kinsoku/>
        <w:overflowPunct/>
        <w:autoSpaceDE/>
        <w:autoSpaceDN/>
        <w:adjustRightInd/>
        <w:snapToGrid/>
      </w:pPr>
      <w:r>
        <w:br w:type="page"/>
      </w:r>
    </w:p>
    <w:p w:rsidR="00F12609" w:rsidRPr="006916CE" w:rsidRDefault="00F12609" w:rsidP="006916CE">
      <w:pPr>
        <w:pStyle w:val="Heading6"/>
      </w:pPr>
      <w:r w:rsidRPr="006916CE">
        <w:t>Integrated supply-demand scenarios</w:t>
      </w:r>
    </w:p>
    <w:p w:rsidR="00F12609" w:rsidRPr="006916CE" w:rsidRDefault="00F12609" w:rsidP="00F12609">
      <w:pPr>
        <w:pStyle w:val="PwCNormal"/>
      </w:pPr>
      <w:r w:rsidRPr="006916CE">
        <w:t>Within the integrated supply-demand analysis, seven separate scenarios were examined. Each corresponding demand and supply scenario is outlined and described in the following table.</w:t>
      </w:r>
    </w:p>
    <w:p w:rsidR="00F12609" w:rsidRPr="006916CE" w:rsidRDefault="00F12609" w:rsidP="00F12609">
      <w:pPr>
        <w:pStyle w:val="Caption"/>
      </w:pPr>
      <w:r w:rsidRPr="006916CE">
        <w:t>Table 14: Overview of the integ</w:t>
      </w:r>
      <w:r w:rsidRPr="006916CE">
        <w:rPr>
          <w:noProof/>
        </w:rPr>
        <w:t>rated supply-demand scenarios*</w:t>
      </w:r>
    </w:p>
    <w:tbl>
      <w:tblPr>
        <w:tblStyle w:val="Tables-APBase"/>
        <w:tblW w:w="5000" w:type="pct"/>
        <w:tblLook w:val="04A0" w:firstRow="1" w:lastRow="0" w:firstColumn="1" w:lastColumn="0" w:noHBand="0" w:noVBand="1"/>
        <w:tblCaption w:val="Table 14 "/>
        <w:tblDescription w:val="Table 14 shows an overview of the integrated supply-demand scenarios. Integrated supply-demand scenario 1 combines the baseline demand scenario with the base case supply scenario. It reflects the most likely future outcomes based on core assumptions, expectations and survey responses.  Integrated supply-demand scenario 2 combines the 1a(High) demand scenario with the base case supply scenario.  It is described as: Potential supply capacity Is unchanged but demand is 20 per cent stronger than expected under the base case. The scenario captures the potential future outcome where significant demand is expected but supply does not lift accordingly.  Integrated supply-demand scenario 3 combines the 3a(Medium – Infill) demand scenario with the base case supply scenario. It is described as: Potential supply capacity is unchanged, however the distribution of demand is different to the base case. More demand is expected in urban infill areas and less in urban growth regions. This scenario is expected to demonstrate how a changed future growth profile toward greater urban infill for Melbourne could impact on extractives markets.  Integrated supply-demand scenario 4 combines the baseline demand scenario with the low supply scenario.  It is described as: Supply faces greater constraints than under the base case with demand at baseline levels. Scenario 4 assesses the extent to which demand can be met in the future in Victoria where supply is constrained, and examines how this plays out in resource locations across the State.  Integrated supply-demand scenario 5 combines the 1a(High) demand scenario with the low supply scenario. It is described as: Supply capacity is reduced; demand is 20 per cent stronger than expected under the base case. Scenario 5 is an ‘extreme’ case where constrained supply is expected to struggle to match strong future demand for extractives in the State.  Integrated supply-demand scenario 6 combines the 3b (Medium – Growth area) demand scenario with the base case supply scenario. It is described as: Potential supply capacity is unchanged, however the distribution of demand is different to the base case. More demand is expected in urban growth areas and less in urban infill regions, capturing a scenario where Melbourne grows at a greater rate in fringe areas relative to current projections and infill development is lower.  Integrated supply-demand scenario 7 combines the baseline demand scenario with the Medium - redistribution supply scenario. It is described as: Demand is at baseline levels. The distribution of supply is changed; new resource deposits are assumed to be licensed in different areas to those modelled under the supply base case. Scenario 7 examines how a different future distribution of planned future quarries could impact on extractives markets in Victoria."/>
      </w:tblPr>
      <w:tblGrid>
        <w:gridCol w:w="990"/>
        <w:gridCol w:w="1385"/>
        <w:gridCol w:w="1136"/>
        <w:gridCol w:w="4926"/>
      </w:tblGrid>
      <w:tr w:rsidR="00F12609" w:rsidRPr="00F12609" w:rsidTr="00E06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7" w:type="pct"/>
          </w:tcPr>
          <w:p w:rsidR="00F12609" w:rsidRPr="006916CE" w:rsidRDefault="00F12609" w:rsidP="00D155A9">
            <w:pPr>
              <w:pStyle w:val="TableColumnHeadingSmall"/>
            </w:pPr>
            <w:r w:rsidRPr="006916CE">
              <w:t>Integrated supply-demand scenario</w:t>
            </w:r>
          </w:p>
        </w:tc>
        <w:tc>
          <w:tcPr>
            <w:tcW w:w="821" w:type="pct"/>
          </w:tcPr>
          <w:p w:rsidR="00F12609" w:rsidRPr="006916CE" w:rsidRDefault="00F12609" w:rsidP="00E060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6916CE">
              <w:t>Demand scenario</w:t>
            </w:r>
          </w:p>
        </w:tc>
        <w:tc>
          <w:tcPr>
            <w:tcW w:w="673" w:type="pct"/>
          </w:tcPr>
          <w:p w:rsidR="00F12609" w:rsidRPr="006916CE" w:rsidRDefault="00F12609" w:rsidP="00E060CE">
            <w:pPr>
              <w:pStyle w:val="TableColumnHeadingSmall"/>
              <w:jc w:val="left"/>
              <w:cnfStyle w:val="100000000000" w:firstRow="1" w:lastRow="0" w:firstColumn="0" w:lastColumn="0" w:oddVBand="0" w:evenVBand="0" w:oddHBand="0" w:evenHBand="0" w:firstRowFirstColumn="0" w:firstRowLastColumn="0" w:lastRowFirstColumn="0" w:lastRowLastColumn="0"/>
            </w:pPr>
            <w:r w:rsidRPr="006916CE">
              <w:t>Supply scenario</w:t>
            </w:r>
          </w:p>
        </w:tc>
        <w:tc>
          <w:tcPr>
            <w:tcW w:w="2920" w:type="pct"/>
          </w:tcPr>
          <w:p w:rsidR="00F12609" w:rsidRPr="006916CE" w:rsidRDefault="00F12609" w:rsidP="00D155A9">
            <w:pPr>
              <w:pStyle w:val="TableColumnHeadingSmall"/>
              <w:jc w:val="left"/>
              <w:cnfStyle w:val="100000000000" w:firstRow="1" w:lastRow="0" w:firstColumn="0" w:lastColumn="0" w:oddVBand="0" w:evenVBand="0" w:oddHBand="0" w:evenHBand="0" w:firstRowFirstColumn="0" w:firstRowLastColumn="0" w:lastRowFirstColumn="0" w:lastRowLastColumn="0"/>
            </w:pPr>
            <w:r w:rsidRPr="006916CE">
              <w:t>Description</w:t>
            </w:r>
          </w:p>
        </w:tc>
      </w:tr>
      <w:tr w:rsidR="00F12609" w:rsidRPr="00F12609" w:rsidTr="00D155A9">
        <w:tc>
          <w:tcPr>
            <w:tcW w:w="587" w:type="pct"/>
            <w:vAlign w:val="center"/>
          </w:tcPr>
          <w:p w:rsidR="00F12609" w:rsidRPr="006916CE" w:rsidRDefault="00F12609" w:rsidP="00D155A9">
            <w:pPr>
              <w:pStyle w:val="TableTextSmall"/>
              <w:keepNext/>
            </w:pPr>
            <w:r w:rsidRPr="006916CE">
              <w:t>1</w:t>
            </w:r>
          </w:p>
        </w:tc>
        <w:tc>
          <w:tcPr>
            <w:tcW w:w="821" w:type="pct"/>
            <w:vAlign w:val="center"/>
          </w:tcPr>
          <w:p w:rsidR="00F12609" w:rsidRPr="006916CE" w:rsidRDefault="00F12609" w:rsidP="00D155A9">
            <w:pPr>
              <w:pStyle w:val="TableTextSmall"/>
              <w:keepNext/>
            </w:pPr>
            <w:r w:rsidRPr="006916CE">
              <w:t>Baseline</w:t>
            </w:r>
          </w:p>
        </w:tc>
        <w:tc>
          <w:tcPr>
            <w:tcW w:w="673" w:type="pct"/>
            <w:vAlign w:val="center"/>
          </w:tcPr>
          <w:p w:rsidR="00F12609" w:rsidRPr="006916CE" w:rsidRDefault="00F12609" w:rsidP="00D155A9">
            <w:pPr>
              <w:pStyle w:val="TableTextSmall"/>
              <w:keepNext/>
            </w:pPr>
            <w:r w:rsidRPr="006916CE">
              <w:t>Base case</w:t>
            </w:r>
          </w:p>
        </w:tc>
        <w:tc>
          <w:tcPr>
            <w:tcW w:w="2920" w:type="pct"/>
          </w:tcPr>
          <w:p w:rsidR="00F12609" w:rsidRPr="006916CE" w:rsidRDefault="00F12609" w:rsidP="00D155A9">
            <w:pPr>
              <w:pStyle w:val="TableTextSmall"/>
              <w:keepNext/>
            </w:pPr>
            <w:r w:rsidRPr="006916CE">
              <w:t>Reflects the most likely future outcomes based on core assumptions, expectations and survey responses</w:t>
            </w:r>
          </w:p>
        </w:tc>
      </w:tr>
      <w:tr w:rsidR="00F12609" w:rsidRPr="00F12609" w:rsidTr="00D155A9">
        <w:tc>
          <w:tcPr>
            <w:tcW w:w="587" w:type="pct"/>
            <w:vAlign w:val="center"/>
          </w:tcPr>
          <w:p w:rsidR="00F12609" w:rsidRPr="006916CE" w:rsidRDefault="00F12609" w:rsidP="00D155A9">
            <w:pPr>
              <w:pStyle w:val="TableTextSmall"/>
              <w:keepNext/>
            </w:pPr>
            <w:r w:rsidRPr="006916CE">
              <w:t>2</w:t>
            </w:r>
          </w:p>
        </w:tc>
        <w:tc>
          <w:tcPr>
            <w:tcW w:w="821" w:type="pct"/>
            <w:vAlign w:val="center"/>
          </w:tcPr>
          <w:p w:rsidR="00F12609" w:rsidRPr="006916CE" w:rsidRDefault="00F12609" w:rsidP="00D155A9">
            <w:pPr>
              <w:pStyle w:val="TableTextSmall"/>
              <w:keepNext/>
            </w:pPr>
            <w:r w:rsidRPr="006916CE">
              <w:t>1a (High)</w:t>
            </w:r>
          </w:p>
        </w:tc>
        <w:tc>
          <w:tcPr>
            <w:tcW w:w="673" w:type="pct"/>
            <w:vAlign w:val="center"/>
          </w:tcPr>
          <w:p w:rsidR="00F12609" w:rsidRPr="006916CE" w:rsidRDefault="00F12609" w:rsidP="00D155A9">
            <w:pPr>
              <w:pStyle w:val="TableTextSmall"/>
              <w:keepNext/>
            </w:pPr>
            <w:r w:rsidRPr="006916CE">
              <w:t>Base case</w:t>
            </w:r>
          </w:p>
        </w:tc>
        <w:tc>
          <w:tcPr>
            <w:tcW w:w="2920" w:type="pct"/>
          </w:tcPr>
          <w:p w:rsidR="00F12609" w:rsidRPr="006916CE" w:rsidRDefault="00F12609" w:rsidP="00D155A9">
            <w:pPr>
              <w:pStyle w:val="TableTextSmall"/>
              <w:keepNext/>
            </w:pPr>
            <w:r w:rsidRPr="006916CE">
              <w:t xml:space="preserve">Potential supply capacity Is unchanged but demand is 20 per cent stronger than expected under the base case. The scenario captures the potential future outcome where significant demand is expected but supply does not lift accordingly. </w:t>
            </w:r>
          </w:p>
        </w:tc>
      </w:tr>
      <w:tr w:rsidR="00F12609" w:rsidRPr="00F12609" w:rsidTr="00D155A9">
        <w:tc>
          <w:tcPr>
            <w:tcW w:w="587" w:type="pct"/>
            <w:vAlign w:val="center"/>
          </w:tcPr>
          <w:p w:rsidR="00F12609" w:rsidRPr="006916CE" w:rsidRDefault="00F12609" w:rsidP="00D155A9">
            <w:pPr>
              <w:pStyle w:val="TableTextSmall"/>
              <w:keepNext/>
            </w:pPr>
            <w:r w:rsidRPr="006916CE">
              <w:t>3</w:t>
            </w:r>
          </w:p>
        </w:tc>
        <w:tc>
          <w:tcPr>
            <w:tcW w:w="821" w:type="pct"/>
            <w:vAlign w:val="center"/>
          </w:tcPr>
          <w:p w:rsidR="00F12609" w:rsidRPr="006916CE" w:rsidRDefault="00F12609" w:rsidP="00D155A9">
            <w:pPr>
              <w:pStyle w:val="TableTextSmall"/>
              <w:keepNext/>
            </w:pPr>
            <w:r w:rsidRPr="006916CE">
              <w:t>3a (Medium – Infill)</w:t>
            </w:r>
          </w:p>
        </w:tc>
        <w:tc>
          <w:tcPr>
            <w:tcW w:w="673" w:type="pct"/>
            <w:vAlign w:val="center"/>
          </w:tcPr>
          <w:p w:rsidR="00F12609" w:rsidRPr="006916CE" w:rsidRDefault="00F12609" w:rsidP="00D155A9">
            <w:pPr>
              <w:pStyle w:val="TableTextSmall"/>
              <w:keepNext/>
            </w:pPr>
            <w:r w:rsidRPr="006916CE">
              <w:t>Base case</w:t>
            </w:r>
          </w:p>
        </w:tc>
        <w:tc>
          <w:tcPr>
            <w:tcW w:w="2920" w:type="pct"/>
          </w:tcPr>
          <w:p w:rsidR="00F12609" w:rsidRPr="006916CE" w:rsidRDefault="00F12609" w:rsidP="00D155A9">
            <w:pPr>
              <w:pStyle w:val="TableTextSmall"/>
              <w:keepNext/>
            </w:pPr>
            <w:r w:rsidRPr="006916CE">
              <w:t xml:space="preserve">Potential supply capacity </w:t>
            </w:r>
            <w:r w:rsidR="00BE0EF4">
              <w:t>i</w:t>
            </w:r>
            <w:r w:rsidRPr="006916CE">
              <w:t xml:space="preserve">s unchanged, however the distribution of demand is different to </w:t>
            </w:r>
            <w:r w:rsidR="00BE0EF4">
              <w:t xml:space="preserve">the </w:t>
            </w:r>
            <w:r w:rsidRPr="006916CE">
              <w:t xml:space="preserve">base case. More demand is expected in urban infill areas and less in urban growth regions. This scenario is expected to demonstrate how a changed future growth profile toward greater urban infill for Melbourne could impact on extractives markets. </w:t>
            </w:r>
          </w:p>
        </w:tc>
      </w:tr>
      <w:tr w:rsidR="00F12609" w:rsidRPr="00F12609" w:rsidTr="00D155A9">
        <w:tc>
          <w:tcPr>
            <w:tcW w:w="587" w:type="pct"/>
            <w:vAlign w:val="center"/>
          </w:tcPr>
          <w:p w:rsidR="00F12609" w:rsidRPr="006916CE" w:rsidRDefault="00F12609" w:rsidP="00D155A9">
            <w:pPr>
              <w:pStyle w:val="TableTextSmall"/>
              <w:keepNext/>
            </w:pPr>
            <w:r w:rsidRPr="006916CE">
              <w:t>4</w:t>
            </w:r>
          </w:p>
        </w:tc>
        <w:tc>
          <w:tcPr>
            <w:tcW w:w="821" w:type="pct"/>
            <w:vAlign w:val="center"/>
          </w:tcPr>
          <w:p w:rsidR="00F12609" w:rsidRPr="006916CE" w:rsidRDefault="00F12609" w:rsidP="00D155A9">
            <w:pPr>
              <w:pStyle w:val="TableTextSmall"/>
              <w:keepNext/>
            </w:pPr>
            <w:r w:rsidRPr="006916CE">
              <w:t>Baseline</w:t>
            </w:r>
          </w:p>
        </w:tc>
        <w:tc>
          <w:tcPr>
            <w:tcW w:w="673" w:type="pct"/>
            <w:vAlign w:val="center"/>
          </w:tcPr>
          <w:p w:rsidR="00F12609" w:rsidRPr="006916CE" w:rsidRDefault="00F12609" w:rsidP="00D155A9">
            <w:pPr>
              <w:pStyle w:val="TableTextSmall"/>
              <w:keepNext/>
            </w:pPr>
            <w:r w:rsidRPr="006916CE">
              <w:t>Low</w:t>
            </w:r>
          </w:p>
        </w:tc>
        <w:tc>
          <w:tcPr>
            <w:tcW w:w="2920" w:type="pct"/>
          </w:tcPr>
          <w:p w:rsidR="00F12609" w:rsidRPr="006916CE" w:rsidRDefault="00F12609" w:rsidP="00D155A9">
            <w:pPr>
              <w:pStyle w:val="TableTextSmall"/>
              <w:keepNext/>
            </w:pPr>
            <w:r w:rsidRPr="006916CE">
              <w:t xml:space="preserve">Supply faces greater constraints than under the base case with demand at baseline levels. Scenario 4 assesses the extent to which demand can be met in the future in Victoria where supply is constrained, and examines how this plays out in resource locations across the State. </w:t>
            </w:r>
          </w:p>
        </w:tc>
      </w:tr>
      <w:tr w:rsidR="00F12609" w:rsidRPr="00F12609" w:rsidTr="00D155A9">
        <w:tc>
          <w:tcPr>
            <w:tcW w:w="587" w:type="pct"/>
            <w:vAlign w:val="center"/>
          </w:tcPr>
          <w:p w:rsidR="00F12609" w:rsidRPr="006916CE" w:rsidRDefault="00F12609" w:rsidP="00D155A9">
            <w:pPr>
              <w:pStyle w:val="TableTextSmall"/>
              <w:keepNext/>
            </w:pPr>
            <w:r w:rsidRPr="006916CE">
              <w:t>5</w:t>
            </w:r>
          </w:p>
        </w:tc>
        <w:tc>
          <w:tcPr>
            <w:tcW w:w="821" w:type="pct"/>
            <w:vAlign w:val="center"/>
          </w:tcPr>
          <w:p w:rsidR="00F12609" w:rsidRPr="006916CE" w:rsidRDefault="00F12609" w:rsidP="00D155A9">
            <w:pPr>
              <w:pStyle w:val="TableTextSmall"/>
              <w:keepNext/>
            </w:pPr>
            <w:r w:rsidRPr="006916CE">
              <w:t>1a (High)</w:t>
            </w:r>
          </w:p>
        </w:tc>
        <w:tc>
          <w:tcPr>
            <w:tcW w:w="673" w:type="pct"/>
            <w:vAlign w:val="center"/>
          </w:tcPr>
          <w:p w:rsidR="00F12609" w:rsidRPr="006916CE" w:rsidRDefault="00F12609" w:rsidP="00D155A9">
            <w:pPr>
              <w:pStyle w:val="TableTextSmall"/>
              <w:keepNext/>
            </w:pPr>
            <w:r w:rsidRPr="006916CE">
              <w:t>Low</w:t>
            </w:r>
          </w:p>
        </w:tc>
        <w:tc>
          <w:tcPr>
            <w:tcW w:w="2920" w:type="pct"/>
          </w:tcPr>
          <w:p w:rsidR="00F12609" w:rsidRPr="006916CE" w:rsidRDefault="00F12609" w:rsidP="00D155A9">
            <w:pPr>
              <w:pStyle w:val="TableTextSmall"/>
              <w:keepNext/>
            </w:pPr>
            <w:r w:rsidRPr="006916CE">
              <w:t>Supply capacity is reduced; demand is 20 per cent stronger than expected under the base case. Scenario 5 is an ‘extreme’ case where constrained supply is expected to struggle to match strong future demand for extractives in the State.</w:t>
            </w:r>
          </w:p>
        </w:tc>
      </w:tr>
      <w:tr w:rsidR="00F12609" w:rsidRPr="00F12609" w:rsidTr="00D155A9">
        <w:tc>
          <w:tcPr>
            <w:tcW w:w="587" w:type="pct"/>
            <w:vAlign w:val="center"/>
          </w:tcPr>
          <w:p w:rsidR="00F12609" w:rsidRPr="006916CE" w:rsidRDefault="00F12609" w:rsidP="00D155A9">
            <w:pPr>
              <w:pStyle w:val="TableTextSmall"/>
              <w:keepNext/>
            </w:pPr>
            <w:r w:rsidRPr="006916CE">
              <w:t>6</w:t>
            </w:r>
          </w:p>
        </w:tc>
        <w:tc>
          <w:tcPr>
            <w:tcW w:w="821" w:type="pct"/>
            <w:vAlign w:val="center"/>
          </w:tcPr>
          <w:p w:rsidR="00F12609" w:rsidRPr="006916CE" w:rsidRDefault="00F12609" w:rsidP="00D155A9">
            <w:pPr>
              <w:pStyle w:val="TableTextSmall"/>
              <w:keepNext/>
            </w:pPr>
            <w:r w:rsidRPr="006916CE">
              <w:t>3b (Medium – Growth area)</w:t>
            </w:r>
          </w:p>
        </w:tc>
        <w:tc>
          <w:tcPr>
            <w:tcW w:w="673" w:type="pct"/>
            <w:vAlign w:val="center"/>
          </w:tcPr>
          <w:p w:rsidR="00F12609" w:rsidRPr="006916CE" w:rsidRDefault="00F12609" w:rsidP="00D155A9">
            <w:pPr>
              <w:pStyle w:val="TableTextSmall"/>
              <w:keepNext/>
            </w:pPr>
            <w:r w:rsidRPr="006916CE">
              <w:t>Base case</w:t>
            </w:r>
          </w:p>
        </w:tc>
        <w:tc>
          <w:tcPr>
            <w:tcW w:w="2920" w:type="pct"/>
          </w:tcPr>
          <w:p w:rsidR="00F12609" w:rsidRPr="006916CE" w:rsidRDefault="00F12609" w:rsidP="00D155A9">
            <w:pPr>
              <w:pStyle w:val="TableTextSmall"/>
              <w:keepNext/>
            </w:pPr>
            <w:r w:rsidRPr="006916CE">
              <w:t xml:space="preserve">Potential supply capacity is unchanged, however the distribution of demand is different to the base case. More demand is expected in urban growth areas and less in urban infill regions, capturing a scenario where Melbourne grows at a greater rate in fringe areas relative to current projections and infill development is lower. </w:t>
            </w:r>
          </w:p>
        </w:tc>
      </w:tr>
      <w:tr w:rsidR="00F12609" w:rsidRPr="00F12609" w:rsidTr="00D155A9">
        <w:tc>
          <w:tcPr>
            <w:tcW w:w="587" w:type="pct"/>
            <w:vAlign w:val="center"/>
          </w:tcPr>
          <w:p w:rsidR="00F12609" w:rsidRPr="006916CE" w:rsidRDefault="00F12609" w:rsidP="00D155A9">
            <w:pPr>
              <w:pStyle w:val="TableTextSmall"/>
              <w:keepNext/>
            </w:pPr>
            <w:r w:rsidRPr="006916CE">
              <w:t>7</w:t>
            </w:r>
          </w:p>
        </w:tc>
        <w:tc>
          <w:tcPr>
            <w:tcW w:w="821" w:type="pct"/>
            <w:vAlign w:val="center"/>
          </w:tcPr>
          <w:p w:rsidR="00F12609" w:rsidRPr="006916CE" w:rsidRDefault="00F12609" w:rsidP="00D155A9">
            <w:pPr>
              <w:pStyle w:val="TableTextSmall"/>
              <w:keepNext/>
            </w:pPr>
            <w:r w:rsidRPr="006916CE">
              <w:t>Baseline</w:t>
            </w:r>
          </w:p>
        </w:tc>
        <w:tc>
          <w:tcPr>
            <w:tcW w:w="673" w:type="pct"/>
            <w:vAlign w:val="center"/>
          </w:tcPr>
          <w:p w:rsidR="00F12609" w:rsidRPr="006916CE" w:rsidRDefault="00F12609" w:rsidP="00D155A9">
            <w:pPr>
              <w:pStyle w:val="TableTextSmall"/>
              <w:keepNext/>
            </w:pPr>
            <w:r w:rsidRPr="006916CE">
              <w:t>Medium - redistribution</w:t>
            </w:r>
          </w:p>
        </w:tc>
        <w:tc>
          <w:tcPr>
            <w:tcW w:w="2920" w:type="pct"/>
          </w:tcPr>
          <w:p w:rsidR="00F12609" w:rsidRPr="006916CE" w:rsidRDefault="00F12609" w:rsidP="00D155A9">
            <w:pPr>
              <w:pStyle w:val="TableTextSmall"/>
              <w:keepNext/>
            </w:pPr>
            <w:r w:rsidRPr="006916CE">
              <w:t>Demand is at baseline levels. The distribution of supply is changed; new resource deposits are assumed to be licensed in different areas to those modelled under the supply base case. Scenario 7 examines how a different future distribution of planned future quarries could impact on extractives markets in Victoria.</w:t>
            </w:r>
          </w:p>
        </w:tc>
      </w:tr>
    </w:tbl>
    <w:p w:rsidR="00806B28" w:rsidRDefault="00F12609" w:rsidP="00F12609">
      <w:pPr>
        <w:pStyle w:val="Sources"/>
        <w:keepNext/>
      </w:pPr>
      <w:r w:rsidRPr="006916CE">
        <w:t xml:space="preserve">Source: PwC. *Details on the demand scenarios assumptions and results can be found in Appendix </w:t>
      </w:r>
      <w:r w:rsidR="00197B03">
        <w:t>E</w:t>
      </w:r>
      <w:r w:rsidRPr="006916CE">
        <w:t>.</w:t>
      </w:r>
    </w:p>
    <w:p w:rsidR="00806B28" w:rsidRDefault="00806B28">
      <w:pPr>
        <w:kinsoku/>
        <w:overflowPunct/>
        <w:autoSpaceDE/>
        <w:autoSpaceDN/>
        <w:adjustRightInd/>
        <w:snapToGrid/>
        <w:rPr>
          <w:color w:val="A32020" w:themeColor="text2"/>
          <w:sz w:val="16"/>
        </w:rPr>
      </w:pPr>
      <w:r>
        <w:br w:type="page"/>
      </w:r>
    </w:p>
    <w:p w:rsidR="00831650" w:rsidRDefault="00831650">
      <w:pPr>
        <w:pStyle w:val="Heading6"/>
      </w:pPr>
      <w:r>
        <w:t>Results</w:t>
      </w:r>
      <w:r w:rsidR="00F12609">
        <w:t xml:space="preserve"> of the integrated supply-demand scenarios</w:t>
      </w:r>
    </w:p>
    <w:p w:rsidR="00AD0566" w:rsidRDefault="00AD0566">
      <w:pPr>
        <w:pStyle w:val="PwCNormal"/>
      </w:pPr>
      <w:r>
        <w:fldChar w:fldCharType="begin"/>
      </w:r>
      <w:r>
        <w:instrText xml:space="preserve"> REF _Ref447638438 \h </w:instrText>
      </w:r>
      <w:r>
        <w:fldChar w:fldCharType="separate"/>
      </w:r>
      <w:r w:rsidR="00E22E13">
        <w:t xml:space="preserve">Table </w:t>
      </w:r>
      <w:r w:rsidR="00E22E13">
        <w:rPr>
          <w:noProof/>
        </w:rPr>
        <w:t>23</w:t>
      </w:r>
      <w:r>
        <w:fldChar w:fldCharType="end"/>
      </w:r>
      <w:r w:rsidR="008D6B66">
        <w:t xml:space="preserve"> </w:t>
      </w:r>
      <w:r w:rsidR="00996370">
        <w:t xml:space="preserve">provides a summary of the </w:t>
      </w:r>
      <w:r w:rsidR="00E36918">
        <w:t xml:space="preserve">potential </w:t>
      </w:r>
      <w:r w:rsidR="00996370">
        <w:t xml:space="preserve">supply shortfalls that </w:t>
      </w:r>
      <w:r w:rsidR="00745F3E">
        <w:t xml:space="preserve">are expected to </w:t>
      </w:r>
      <w:r w:rsidR="00996370">
        <w:t xml:space="preserve">occur under each </w:t>
      </w:r>
      <w:r>
        <w:t>s</w:t>
      </w:r>
      <w:r w:rsidR="00996370">
        <w:t>cenario for a</w:t>
      </w:r>
      <w:r w:rsidR="0092696D">
        <w:t xml:space="preserve"> select number of LGAs</w:t>
      </w:r>
      <w:r w:rsidR="00EB299D">
        <w:t>.</w:t>
      </w:r>
      <w:r w:rsidR="00E36918">
        <w:t xml:space="preserve"> These shortfalls are calculated from the point of view of the demand location as discussed in Section </w:t>
      </w:r>
      <w:r w:rsidR="00E36918">
        <w:fldChar w:fldCharType="begin"/>
      </w:r>
      <w:r w:rsidR="00E36918">
        <w:instrText xml:space="preserve"> REF _Ref447702549 \r \h </w:instrText>
      </w:r>
      <w:r w:rsidR="00E36918">
        <w:fldChar w:fldCharType="separate"/>
      </w:r>
      <w:r w:rsidR="00E22E13">
        <w:t>4.2</w:t>
      </w:r>
      <w:r w:rsidR="00E36918">
        <w:fldChar w:fldCharType="end"/>
      </w:r>
      <w:r w:rsidR="00E36918">
        <w:t>.</w:t>
      </w:r>
      <w:r>
        <w:t xml:space="preserve"> </w:t>
      </w:r>
    </w:p>
    <w:p w:rsidR="00AD0566" w:rsidRDefault="00AD0566" w:rsidP="006916CE">
      <w:pPr>
        <w:pStyle w:val="Caption"/>
      </w:pPr>
      <w:bookmarkStart w:id="241" w:name="_Ref447638438"/>
      <w:r>
        <w:t xml:space="preserve">Table </w:t>
      </w:r>
      <w:fldSimple w:instr=" SEQ Table \* ARABIC ">
        <w:r w:rsidR="00E22E13">
          <w:rPr>
            <w:noProof/>
          </w:rPr>
          <w:t>23</w:t>
        </w:r>
      </w:fldSimple>
      <w:bookmarkEnd w:id="241"/>
      <w:r>
        <w:t xml:space="preserve">: LGA potential supply shortfalls </w:t>
      </w:r>
      <w:r>
        <w:rPr>
          <w:noProof/>
        </w:rPr>
        <w:t>in FY50 for select LGAs under the various scenarios considered, tonnes</w:t>
      </w:r>
    </w:p>
    <w:tbl>
      <w:tblPr>
        <w:tblStyle w:val="Tables-APBase"/>
        <w:tblW w:w="0" w:type="auto"/>
        <w:tblLook w:val="04E0" w:firstRow="1" w:lastRow="1" w:firstColumn="1" w:lastColumn="0" w:noHBand="0" w:noVBand="1"/>
        <w:tblCaption w:val="Table 23 "/>
        <w:tblDescription w:val="Table 23 shows LGA potential supply shortfalls in FY50 for select LGAs under the various scenarios considered.  LGAs with potential supply shortfalls across all seven scenarios are, in decending order, Melbourne, Wyndham, Melton, Hume, Casey, Whittlesea, Port Phillip, Mitchell, Monash, Greater Dandenong and Moreland. The total shortfall across all of Victoria for each scenario is: Scenario 1 – 29,995,373 tonnes, Scenario 2 – 38,160,104 tonnes, Scenario 3 – 30,308,877 tonnes, Scenario 4 – 31,843,455 tonnes, Scenario 5 – 44,896,589 tonnes, Scenario 6 – 31,448,089 tonnes, and Scenario 7 – 29,807,369 tonnes. "/>
      </w:tblPr>
      <w:tblGrid>
        <w:gridCol w:w="1173"/>
        <w:gridCol w:w="1156"/>
        <w:gridCol w:w="1018"/>
        <w:gridCol w:w="1018"/>
        <w:gridCol w:w="1018"/>
        <w:gridCol w:w="1018"/>
        <w:gridCol w:w="1018"/>
        <w:gridCol w:w="1018"/>
      </w:tblGrid>
      <w:tr w:rsidR="00AD0566" w:rsidTr="00E060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AD0566" w:rsidRDefault="00AD0566" w:rsidP="006916CE">
            <w:pPr>
              <w:pStyle w:val="TableColumnHeadingSmall"/>
            </w:pPr>
            <w:r w:rsidRPr="00E84297">
              <w:rPr>
                <w:bCs/>
                <w:snapToGrid/>
                <w:lang w:eastAsia="en-AU"/>
              </w:rPr>
              <w:t>LGA</w:t>
            </w:r>
          </w:p>
        </w:tc>
        <w:tc>
          <w:tcPr>
            <w:tcW w:w="0" w:type="auto"/>
          </w:tcPr>
          <w:p w:rsidR="00AD0566" w:rsidRDefault="00AD0566" w:rsidP="006916CE">
            <w:pPr>
              <w:pStyle w:val="TableColumnHeadingSmall"/>
              <w:jc w:val="right"/>
              <w:cnfStyle w:val="100000000000" w:firstRow="1" w:lastRow="0" w:firstColumn="0" w:lastColumn="0" w:oddVBand="0" w:evenVBand="0" w:oddHBand="0" w:evenHBand="0" w:firstRowFirstColumn="0" w:firstRowLastColumn="0" w:lastRowFirstColumn="0" w:lastRowLastColumn="0"/>
            </w:pPr>
            <w:r>
              <w:rPr>
                <w:bCs/>
                <w:snapToGrid/>
                <w:lang w:eastAsia="en-AU"/>
              </w:rPr>
              <w:t>Scenario 1 (base case)</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2</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3</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4</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5</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6</w:t>
            </w:r>
          </w:p>
        </w:tc>
        <w:tc>
          <w:tcPr>
            <w:tcW w:w="0" w:type="auto"/>
          </w:tcPr>
          <w:p w:rsidR="00AD0566" w:rsidRDefault="00AD0566" w:rsidP="00E060CE">
            <w:pPr>
              <w:pStyle w:val="TableColumnHeadingSmall"/>
              <w:cnfStyle w:val="100000000000" w:firstRow="1" w:lastRow="0" w:firstColumn="0" w:lastColumn="0" w:oddVBand="0" w:evenVBand="0" w:oddHBand="0" w:evenHBand="0" w:firstRowFirstColumn="0" w:firstRowLastColumn="0" w:lastRowFirstColumn="0" w:lastRowLastColumn="0"/>
            </w:pPr>
            <w:r w:rsidRPr="00E84297">
              <w:rPr>
                <w:bCs/>
                <w:snapToGrid/>
                <w:lang w:eastAsia="en-AU"/>
              </w:rPr>
              <w:t>Scenario 7</w:t>
            </w:r>
          </w:p>
        </w:tc>
      </w:tr>
      <w:tr w:rsidR="00AD0566" w:rsidTr="006916CE">
        <w:tc>
          <w:tcPr>
            <w:tcW w:w="0" w:type="auto"/>
          </w:tcPr>
          <w:p w:rsidR="00AD0566" w:rsidRDefault="00AD0566" w:rsidP="006916CE">
            <w:pPr>
              <w:pStyle w:val="TableTextSmall"/>
              <w:keepNext/>
            </w:pPr>
            <w:r>
              <w:rPr>
                <w:snapToGrid/>
                <w:color w:val="000000"/>
                <w:szCs w:val="16"/>
                <w:lang w:eastAsia="en-AU"/>
              </w:rPr>
              <w:t>Melbourne (C)</w:t>
            </w:r>
          </w:p>
        </w:tc>
        <w:tc>
          <w:tcPr>
            <w:tcW w:w="0" w:type="auto"/>
            <w:vAlign w:val="center"/>
          </w:tcPr>
          <w:p w:rsidR="00AD0566" w:rsidRDefault="00AD0566" w:rsidP="006916CE">
            <w:pPr>
              <w:pStyle w:val="TableTextSmall"/>
              <w:keepNext/>
              <w:jc w:val="right"/>
            </w:pPr>
            <w:r>
              <w:rPr>
                <w:snapToGrid/>
                <w:color w:val="000000"/>
                <w:szCs w:val="16"/>
                <w:lang w:eastAsia="en-AU"/>
              </w:rPr>
              <w:t>4,152,737</w:t>
            </w:r>
          </w:p>
        </w:tc>
        <w:tc>
          <w:tcPr>
            <w:tcW w:w="0" w:type="auto"/>
            <w:vAlign w:val="center"/>
          </w:tcPr>
          <w:p w:rsidR="00AD0566" w:rsidRDefault="00AD0566" w:rsidP="006916CE">
            <w:pPr>
              <w:pStyle w:val="TableTextSmall"/>
              <w:keepNext/>
              <w:jc w:val="right"/>
            </w:pPr>
            <w:r>
              <w:rPr>
                <w:snapToGrid/>
                <w:color w:val="000000"/>
                <w:szCs w:val="16"/>
                <w:lang w:eastAsia="en-AU"/>
              </w:rPr>
              <w:t>5,241,271</w:t>
            </w:r>
          </w:p>
        </w:tc>
        <w:tc>
          <w:tcPr>
            <w:tcW w:w="0" w:type="auto"/>
            <w:vAlign w:val="center"/>
          </w:tcPr>
          <w:p w:rsidR="00AD0566" w:rsidRDefault="00AD0566" w:rsidP="006916CE">
            <w:pPr>
              <w:pStyle w:val="TableTextSmall"/>
              <w:keepNext/>
              <w:jc w:val="right"/>
            </w:pPr>
            <w:r>
              <w:rPr>
                <w:snapToGrid/>
                <w:color w:val="000000"/>
                <w:szCs w:val="16"/>
                <w:lang w:eastAsia="en-AU"/>
              </w:rPr>
              <w:t>4,709,428</w:t>
            </w:r>
          </w:p>
        </w:tc>
        <w:tc>
          <w:tcPr>
            <w:tcW w:w="0" w:type="auto"/>
            <w:vAlign w:val="center"/>
          </w:tcPr>
          <w:p w:rsidR="00AD0566" w:rsidRDefault="00AD0566" w:rsidP="006916CE">
            <w:pPr>
              <w:pStyle w:val="TableTextSmall"/>
              <w:keepNext/>
              <w:jc w:val="right"/>
            </w:pPr>
            <w:r>
              <w:rPr>
                <w:snapToGrid/>
                <w:color w:val="000000"/>
                <w:szCs w:val="16"/>
                <w:lang w:eastAsia="en-AU"/>
              </w:rPr>
              <w:t>4,370,818</w:t>
            </w:r>
          </w:p>
        </w:tc>
        <w:tc>
          <w:tcPr>
            <w:tcW w:w="0" w:type="auto"/>
            <w:vAlign w:val="center"/>
          </w:tcPr>
          <w:p w:rsidR="00AD0566" w:rsidRDefault="00AD0566" w:rsidP="006916CE">
            <w:pPr>
              <w:pStyle w:val="TableTextSmall"/>
              <w:keepNext/>
              <w:jc w:val="right"/>
            </w:pPr>
            <w:r>
              <w:rPr>
                <w:snapToGrid/>
                <w:color w:val="000000"/>
                <w:szCs w:val="16"/>
                <w:lang w:eastAsia="en-AU"/>
              </w:rPr>
              <w:t>6,071,079</w:t>
            </w:r>
          </w:p>
        </w:tc>
        <w:tc>
          <w:tcPr>
            <w:tcW w:w="0" w:type="auto"/>
            <w:vAlign w:val="center"/>
          </w:tcPr>
          <w:p w:rsidR="00AD0566" w:rsidRDefault="00AD0566" w:rsidP="006916CE">
            <w:pPr>
              <w:pStyle w:val="TableTextSmall"/>
              <w:keepNext/>
              <w:jc w:val="right"/>
            </w:pPr>
            <w:r>
              <w:rPr>
                <w:snapToGrid/>
                <w:color w:val="000000"/>
                <w:szCs w:val="16"/>
                <w:lang w:eastAsia="en-AU"/>
              </w:rPr>
              <w:t>2,498,229</w:t>
            </w:r>
          </w:p>
        </w:tc>
        <w:tc>
          <w:tcPr>
            <w:tcW w:w="0" w:type="auto"/>
            <w:vAlign w:val="center"/>
          </w:tcPr>
          <w:p w:rsidR="00AD0566" w:rsidRDefault="00AD0566" w:rsidP="006916CE">
            <w:pPr>
              <w:pStyle w:val="TableTextSmall"/>
              <w:keepNext/>
              <w:jc w:val="right"/>
            </w:pPr>
            <w:r>
              <w:rPr>
                <w:snapToGrid/>
                <w:color w:val="000000"/>
                <w:szCs w:val="16"/>
                <w:lang w:eastAsia="en-AU"/>
              </w:rPr>
              <w:t>4,190,852</w:t>
            </w:r>
          </w:p>
        </w:tc>
      </w:tr>
      <w:tr w:rsidR="00AD0566" w:rsidTr="006916CE">
        <w:tc>
          <w:tcPr>
            <w:tcW w:w="0" w:type="auto"/>
          </w:tcPr>
          <w:p w:rsidR="00AD0566" w:rsidRDefault="00AD0566" w:rsidP="006916CE">
            <w:pPr>
              <w:pStyle w:val="TableTextSmall"/>
              <w:keepNext/>
            </w:pPr>
            <w:r>
              <w:rPr>
                <w:snapToGrid/>
                <w:color w:val="000000"/>
                <w:szCs w:val="16"/>
                <w:lang w:eastAsia="en-AU"/>
              </w:rPr>
              <w:t>Wyndham (C)</w:t>
            </w:r>
          </w:p>
        </w:tc>
        <w:tc>
          <w:tcPr>
            <w:tcW w:w="0" w:type="auto"/>
            <w:vAlign w:val="center"/>
          </w:tcPr>
          <w:p w:rsidR="00AD0566" w:rsidRDefault="00AD0566" w:rsidP="006916CE">
            <w:pPr>
              <w:pStyle w:val="TableTextSmall"/>
              <w:keepNext/>
              <w:jc w:val="right"/>
            </w:pPr>
            <w:r>
              <w:rPr>
                <w:snapToGrid/>
                <w:color w:val="000000"/>
                <w:szCs w:val="16"/>
                <w:lang w:eastAsia="en-AU"/>
              </w:rPr>
              <w:t>2,124,843</w:t>
            </w:r>
          </w:p>
        </w:tc>
        <w:tc>
          <w:tcPr>
            <w:tcW w:w="0" w:type="auto"/>
            <w:vAlign w:val="center"/>
          </w:tcPr>
          <w:p w:rsidR="00AD0566" w:rsidRDefault="00AD0566" w:rsidP="006916CE">
            <w:pPr>
              <w:pStyle w:val="TableTextSmall"/>
              <w:keepNext/>
              <w:jc w:val="right"/>
            </w:pPr>
            <w:r>
              <w:rPr>
                <w:snapToGrid/>
                <w:color w:val="000000"/>
                <w:szCs w:val="16"/>
                <w:lang w:eastAsia="en-AU"/>
              </w:rPr>
              <w:t>2,661,594</w:t>
            </w:r>
          </w:p>
        </w:tc>
        <w:tc>
          <w:tcPr>
            <w:tcW w:w="0" w:type="auto"/>
            <w:vAlign w:val="center"/>
          </w:tcPr>
          <w:p w:rsidR="00AD0566" w:rsidRDefault="00AD0566" w:rsidP="006916CE">
            <w:pPr>
              <w:pStyle w:val="TableTextSmall"/>
              <w:keepNext/>
              <w:jc w:val="right"/>
            </w:pPr>
            <w:r>
              <w:rPr>
                <w:snapToGrid/>
                <w:color w:val="000000"/>
                <w:szCs w:val="16"/>
                <w:lang w:eastAsia="en-AU"/>
              </w:rPr>
              <w:t>842,026</w:t>
            </w:r>
          </w:p>
        </w:tc>
        <w:tc>
          <w:tcPr>
            <w:tcW w:w="0" w:type="auto"/>
            <w:vAlign w:val="center"/>
          </w:tcPr>
          <w:p w:rsidR="00AD0566" w:rsidRDefault="00AD0566" w:rsidP="006916CE">
            <w:pPr>
              <w:pStyle w:val="TableTextSmall"/>
              <w:keepNext/>
              <w:jc w:val="right"/>
            </w:pPr>
            <w:r>
              <w:rPr>
                <w:snapToGrid/>
                <w:color w:val="000000"/>
                <w:szCs w:val="16"/>
                <w:lang w:eastAsia="en-AU"/>
              </w:rPr>
              <w:t>2,219,081</w:t>
            </w:r>
          </w:p>
        </w:tc>
        <w:tc>
          <w:tcPr>
            <w:tcW w:w="0" w:type="auto"/>
            <w:vAlign w:val="center"/>
          </w:tcPr>
          <w:p w:rsidR="00AD0566" w:rsidRDefault="00AD0566" w:rsidP="006916CE">
            <w:pPr>
              <w:pStyle w:val="TableTextSmall"/>
              <w:keepNext/>
              <w:jc w:val="right"/>
            </w:pPr>
            <w:r>
              <w:rPr>
                <w:snapToGrid/>
                <w:color w:val="000000"/>
                <w:szCs w:val="16"/>
                <w:lang w:eastAsia="en-AU"/>
              </w:rPr>
              <w:t>3,204,345</w:t>
            </w:r>
          </w:p>
        </w:tc>
        <w:tc>
          <w:tcPr>
            <w:tcW w:w="0" w:type="auto"/>
            <w:vAlign w:val="center"/>
          </w:tcPr>
          <w:p w:rsidR="00AD0566" w:rsidRDefault="00AD0566" w:rsidP="006916CE">
            <w:pPr>
              <w:pStyle w:val="TableTextSmall"/>
              <w:keepNext/>
              <w:jc w:val="right"/>
            </w:pPr>
            <w:r>
              <w:rPr>
                <w:snapToGrid/>
                <w:color w:val="000000"/>
                <w:szCs w:val="16"/>
                <w:lang w:eastAsia="en-AU"/>
              </w:rPr>
              <w:t>3,494,815</w:t>
            </w:r>
          </w:p>
        </w:tc>
        <w:tc>
          <w:tcPr>
            <w:tcW w:w="0" w:type="auto"/>
            <w:vAlign w:val="center"/>
          </w:tcPr>
          <w:p w:rsidR="00AD0566" w:rsidRDefault="00AD0566" w:rsidP="006916CE">
            <w:pPr>
              <w:pStyle w:val="TableTextSmall"/>
              <w:keepNext/>
              <w:jc w:val="right"/>
            </w:pPr>
            <w:r>
              <w:rPr>
                <w:snapToGrid/>
                <w:color w:val="000000"/>
                <w:szCs w:val="16"/>
                <w:lang w:eastAsia="en-AU"/>
              </w:rPr>
              <w:t>2,119,499</w:t>
            </w:r>
          </w:p>
        </w:tc>
      </w:tr>
      <w:tr w:rsidR="00AD0566" w:rsidTr="006916CE">
        <w:tc>
          <w:tcPr>
            <w:tcW w:w="0" w:type="auto"/>
          </w:tcPr>
          <w:p w:rsidR="00AD0566" w:rsidRDefault="00AD0566" w:rsidP="006916CE">
            <w:pPr>
              <w:pStyle w:val="TableTextSmall"/>
              <w:keepNext/>
            </w:pPr>
            <w:r>
              <w:rPr>
                <w:snapToGrid/>
                <w:color w:val="000000"/>
                <w:szCs w:val="16"/>
                <w:lang w:eastAsia="en-AU"/>
              </w:rPr>
              <w:t>Melton (S)</w:t>
            </w:r>
          </w:p>
        </w:tc>
        <w:tc>
          <w:tcPr>
            <w:tcW w:w="0" w:type="auto"/>
            <w:vAlign w:val="center"/>
          </w:tcPr>
          <w:p w:rsidR="00AD0566" w:rsidRDefault="00AD0566" w:rsidP="006916CE">
            <w:pPr>
              <w:pStyle w:val="TableTextSmall"/>
              <w:keepNext/>
              <w:jc w:val="right"/>
            </w:pPr>
            <w:r>
              <w:rPr>
                <w:snapToGrid/>
                <w:color w:val="000000"/>
                <w:szCs w:val="16"/>
                <w:lang w:eastAsia="en-AU"/>
              </w:rPr>
              <w:t>1,616,748</w:t>
            </w:r>
          </w:p>
        </w:tc>
        <w:tc>
          <w:tcPr>
            <w:tcW w:w="0" w:type="auto"/>
            <w:vAlign w:val="center"/>
          </w:tcPr>
          <w:p w:rsidR="00AD0566" w:rsidRDefault="00AD0566" w:rsidP="006916CE">
            <w:pPr>
              <w:pStyle w:val="TableTextSmall"/>
              <w:keepNext/>
              <w:jc w:val="right"/>
            </w:pPr>
            <w:r>
              <w:rPr>
                <w:snapToGrid/>
                <w:color w:val="000000"/>
                <w:szCs w:val="16"/>
                <w:lang w:eastAsia="en-AU"/>
              </w:rPr>
              <w:t>2,027,871</w:t>
            </w:r>
          </w:p>
        </w:tc>
        <w:tc>
          <w:tcPr>
            <w:tcW w:w="0" w:type="auto"/>
            <w:vAlign w:val="center"/>
          </w:tcPr>
          <w:p w:rsidR="00AD0566" w:rsidRDefault="00AD0566" w:rsidP="006916CE">
            <w:pPr>
              <w:pStyle w:val="TableTextSmall"/>
              <w:keepNext/>
              <w:jc w:val="right"/>
            </w:pPr>
            <w:r>
              <w:rPr>
                <w:snapToGrid/>
                <w:color w:val="000000"/>
                <w:szCs w:val="16"/>
                <w:lang w:eastAsia="en-AU"/>
              </w:rPr>
              <w:t>713,248</w:t>
            </w:r>
          </w:p>
        </w:tc>
        <w:tc>
          <w:tcPr>
            <w:tcW w:w="0" w:type="auto"/>
            <w:vAlign w:val="center"/>
          </w:tcPr>
          <w:p w:rsidR="00AD0566" w:rsidRDefault="00AD0566" w:rsidP="006916CE">
            <w:pPr>
              <w:pStyle w:val="TableTextSmall"/>
              <w:keepNext/>
              <w:jc w:val="right"/>
            </w:pPr>
            <w:r>
              <w:rPr>
                <w:snapToGrid/>
                <w:color w:val="000000"/>
                <w:szCs w:val="16"/>
                <w:lang w:eastAsia="en-AU"/>
              </w:rPr>
              <w:t>1,690,847</w:t>
            </w:r>
          </w:p>
        </w:tc>
        <w:tc>
          <w:tcPr>
            <w:tcW w:w="0" w:type="auto"/>
            <w:vAlign w:val="center"/>
          </w:tcPr>
          <w:p w:rsidR="00AD0566" w:rsidRDefault="00AD0566" w:rsidP="006916CE">
            <w:pPr>
              <w:pStyle w:val="TableTextSmall"/>
              <w:keepNext/>
              <w:jc w:val="right"/>
            </w:pPr>
            <w:r>
              <w:rPr>
                <w:snapToGrid/>
                <w:color w:val="000000"/>
                <w:szCs w:val="16"/>
                <w:lang w:eastAsia="en-AU"/>
              </w:rPr>
              <w:t>2,404,581</w:t>
            </w:r>
          </w:p>
        </w:tc>
        <w:tc>
          <w:tcPr>
            <w:tcW w:w="0" w:type="auto"/>
            <w:vAlign w:val="center"/>
          </w:tcPr>
          <w:p w:rsidR="00AD0566" w:rsidRDefault="00AD0566" w:rsidP="006916CE">
            <w:pPr>
              <w:pStyle w:val="TableTextSmall"/>
              <w:keepNext/>
              <w:jc w:val="right"/>
            </w:pPr>
            <w:r>
              <w:rPr>
                <w:snapToGrid/>
                <w:color w:val="000000"/>
                <w:szCs w:val="16"/>
                <w:lang w:eastAsia="en-AU"/>
              </w:rPr>
              <w:t>2,332,078</w:t>
            </w:r>
          </w:p>
        </w:tc>
        <w:tc>
          <w:tcPr>
            <w:tcW w:w="0" w:type="auto"/>
            <w:vAlign w:val="center"/>
          </w:tcPr>
          <w:p w:rsidR="00AD0566" w:rsidRDefault="00AD0566" w:rsidP="006916CE">
            <w:pPr>
              <w:pStyle w:val="TableTextSmall"/>
              <w:keepNext/>
              <w:jc w:val="right"/>
            </w:pPr>
            <w:r>
              <w:rPr>
                <w:snapToGrid/>
                <w:color w:val="000000"/>
                <w:szCs w:val="16"/>
                <w:lang w:eastAsia="en-AU"/>
              </w:rPr>
              <w:t>1,617,130</w:t>
            </w:r>
          </w:p>
        </w:tc>
      </w:tr>
      <w:tr w:rsidR="00AD0566" w:rsidTr="006916CE">
        <w:tc>
          <w:tcPr>
            <w:tcW w:w="0" w:type="auto"/>
          </w:tcPr>
          <w:p w:rsidR="00AD0566" w:rsidRDefault="00AD0566" w:rsidP="006916CE">
            <w:pPr>
              <w:pStyle w:val="TableTextSmall"/>
              <w:keepNext/>
            </w:pPr>
            <w:r>
              <w:rPr>
                <w:snapToGrid/>
                <w:color w:val="000000"/>
                <w:szCs w:val="16"/>
                <w:lang w:eastAsia="en-AU"/>
              </w:rPr>
              <w:t>Hume (C)</w:t>
            </w:r>
          </w:p>
        </w:tc>
        <w:tc>
          <w:tcPr>
            <w:tcW w:w="0" w:type="auto"/>
            <w:vAlign w:val="center"/>
          </w:tcPr>
          <w:p w:rsidR="00AD0566" w:rsidRDefault="00AD0566" w:rsidP="006916CE">
            <w:pPr>
              <w:pStyle w:val="TableTextSmall"/>
              <w:keepNext/>
              <w:jc w:val="right"/>
            </w:pPr>
            <w:r>
              <w:rPr>
                <w:snapToGrid/>
                <w:color w:val="000000"/>
                <w:szCs w:val="16"/>
                <w:lang w:eastAsia="en-AU"/>
              </w:rPr>
              <w:t>1,164,016</w:t>
            </w:r>
          </w:p>
        </w:tc>
        <w:tc>
          <w:tcPr>
            <w:tcW w:w="0" w:type="auto"/>
            <w:vAlign w:val="center"/>
          </w:tcPr>
          <w:p w:rsidR="00AD0566" w:rsidRDefault="00AD0566" w:rsidP="006916CE">
            <w:pPr>
              <w:pStyle w:val="TableTextSmall"/>
              <w:keepNext/>
              <w:jc w:val="right"/>
            </w:pPr>
            <w:r>
              <w:rPr>
                <w:snapToGrid/>
                <w:color w:val="000000"/>
                <w:szCs w:val="16"/>
                <w:lang w:eastAsia="en-AU"/>
              </w:rPr>
              <w:t>1,465,186</w:t>
            </w:r>
          </w:p>
        </w:tc>
        <w:tc>
          <w:tcPr>
            <w:tcW w:w="0" w:type="auto"/>
            <w:vAlign w:val="center"/>
          </w:tcPr>
          <w:p w:rsidR="00AD0566" w:rsidRDefault="00AD0566" w:rsidP="006916CE">
            <w:pPr>
              <w:pStyle w:val="TableTextSmall"/>
              <w:keepNext/>
              <w:jc w:val="right"/>
            </w:pPr>
            <w:r>
              <w:rPr>
                <w:snapToGrid/>
                <w:color w:val="000000"/>
                <w:szCs w:val="16"/>
                <w:lang w:eastAsia="en-AU"/>
              </w:rPr>
              <w:t>1,032,799</w:t>
            </w:r>
          </w:p>
        </w:tc>
        <w:tc>
          <w:tcPr>
            <w:tcW w:w="0" w:type="auto"/>
            <w:vAlign w:val="center"/>
          </w:tcPr>
          <w:p w:rsidR="00AD0566" w:rsidRDefault="00AD0566" w:rsidP="006916CE">
            <w:pPr>
              <w:pStyle w:val="TableTextSmall"/>
              <w:keepNext/>
              <w:jc w:val="right"/>
            </w:pPr>
            <w:r>
              <w:rPr>
                <w:snapToGrid/>
                <w:color w:val="000000"/>
                <w:szCs w:val="16"/>
                <w:lang w:eastAsia="en-AU"/>
              </w:rPr>
              <w:t>1,220,988</w:t>
            </w:r>
          </w:p>
        </w:tc>
        <w:tc>
          <w:tcPr>
            <w:tcW w:w="0" w:type="auto"/>
            <w:vAlign w:val="center"/>
          </w:tcPr>
          <w:p w:rsidR="00AD0566" w:rsidRDefault="00AD0566" w:rsidP="006916CE">
            <w:pPr>
              <w:pStyle w:val="TableTextSmall"/>
              <w:keepNext/>
              <w:jc w:val="right"/>
            </w:pPr>
            <w:r>
              <w:rPr>
                <w:snapToGrid/>
                <w:color w:val="000000"/>
                <w:szCs w:val="16"/>
                <w:lang w:eastAsia="en-AU"/>
              </w:rPr>
              <w:t>1,699,527</w:t>
            </w:r>
          </w:p>
        </w:tc>
        <w:tc>
          <w:tcPr>
            <w:tcW w:w="0" w:type="auto"/>
            <w:vAlign w:val="center"/>
          </w:tcPr>
          <w:p w:rsidR="00AD0566" w:rsidRDefault="00AD0566" w:rsidP="006916CE">
            <w:pPr>
              <w:pStyle w:val="TableTextSmall"/>
              <w:keepNext/>
              <w:jc w:val="right"/>
            </w:pPr>
            <w:r>
              <w:rPr>
                <w:snapToGrid/>
                <w:color w:val="000000"/>
                <w:szCs w:val="16"/>
                <w:lang w:eastAsia="en-AU"/>
              </w:rPr>
              <w:t>1,524,513</w:t>
            </w:r>
          </w:p>
        </w:tc>
        <w:tc>
          <w:tcPr>
            <w:tcW w:w="0" w:type="auto"/>
            <w:vAlign w:val="center"/>
          </w:tcPr>
          <w:p w:rsidR="00AD0566" w:rsidRDefault="00AD0566" w:rsidP="006916CE">
            <w:pPr>
              <w:pStyle w:val="TableTextSmall"/>
              <w:keepNext/>
              <w:jc w:val="right"/>
            </w:pPr>
            <w:r>
              <w:rPr>
                <w:snapToGrid/>
                <w:color w:val="000000"/>
                <w:szCs w:val="16"/>
                <w:lang w:eastAsia="en-AU"/>
              </w:rPr>
              <w:t>1,186,107</w:t>
            </w:r>
          </w:p>
        </w:tc>
      </w:tr>
      <w:tr w:rsidR="00AD0566" w:rsidTr="006916CE">
        <w:tc>
          <w:tcPr>
            <w:tcW w:w="0" w:type="auto"/>
          </w:tcPr>
          <w:p w:rsidR="00AD0566" w:rsidRDefault="00AD0566" w:rsidP="006916CE">
            <w:pPr>
              <w:pStyle w:val="TableTextSmall"/>
              <w:keepNext/>
            </w:pPr>
            <w:r>
              <w:rPr>
                <w:snapToGrid/>
                <w:color w:val="000000"/>
                <w:szCs w:val="16"/>
                <w:lang w:eastAsia="en-AU"/>
              </w:rPr>
              <w:t>Casey (C)</w:t>
            </w:r>
          </w:p>
        </w:tc>
        <w:tc>
          <w:tcPr>
            <w:tcW w:w="0" w:type="auto"/>
            <w:vAlign w:val="center"/>
          </w:tcPr>
          <w:p w:rsidR="00AD0566" w:rsidRDefault="00AD0566" w:rsidP="006916CE">
            <w:pPr>
              <w:pStyle w:val="TableTextSmall"/>
              <w:keepNext/>
              <w:jc w:val="right"/>
            </w:pPr>
            <w:r>
              <w:rPr>
                <w:snapToGrid/>
                <w:color w:val="000000"/>
                <w:szCs w:val="16"/>
                <w:lang w:eastAsia="en-AU"/>
              </w:rPr>
              <w:t>1,063,952</w:t>
            </w:r>
          </w:p>
        </w:tc>
        <w:tc>
          <w:tcPr>
            <w:tcW w:w="0" w:type="auto"/>
            <w:vAlign w:val="center"/>
          </w:tcPr>
          <w:p w:rsidR="00AD0566" w:rsidRDefault="00AD0566" w:rsidP="006916CE">
            <w:pPr>
              <w:pStyle w:val="TableTextSmall"/>
              <w:keepNext/>
              <w:jc w:val="right"/>
            </w:pPr>
            <w:r>
              <w:rPr>
                <w:snapToGrid/>
                <w:color w:val="000000"/>
                <w:szCs w:val="16"/>
                <w:lang w:eastAsia="en-AU"/>
              </w:rPr>
              <w:t>1,332,028</w:t>
            </w:r>
          </w:p>
        </w:tc>
        <w:tc>
          <w:tcPr>
            <w:tcW w:w="0" w:type="auto"/>
            <w:vAlign w:val="center"/>
          </w:tcPr>
          <w:p w:rsidR="00AD0566" w:rsidRDefault="00AD0566" w:rsidP="006916CE">
            <w:pPr>
              <w:pStyle w:val="TableTextSmall"/>
              <w:keepNext/>
              <w:jc w:val="right"/>
            </w:pPr>
            <w:r>
              <w:rPr>
                <w:snapToGrid/>
                <w:color w:val="000000"/>
                <w:szCs w:val="16"/>
                <w:lang w:eastAsia="en-AU"/>
              </w:rPr>
              <w:t>1,300,097</w:t>
            </w:r>
          </w:p>
        </w:tc>
        <w:tc>
          <w:tcPr>
            <w:tcW w:w="0" w:type="auto"/>
            <w:vAlign w:val="center"/>
          </w:tcPr>
          <w:p w:rsidR="00AD0566" w:rsidRDefault="00AD0566" w:rsidP="006916CE">
            <w:pPr>
              <w:pStyle w:val="TableTextSmall"/>
              <w:keepNext/>
              <w:jc w:val="right"/>
            </w:pPr>
            <w:r>
              <w:rPr>
                <w:snapToGrid/>
                <w:color w:val="000000"/>
                <w:szCs w:val="16"/>
                <w:lang w:eastAsia="en-AU"/>
              </w:rPr>
              <w:t>1,110,024</w:t>
            </w:r>
          </w:p>
        </w:tc>
        <w:tc>
          <w:tcPr>
            <w:tcW w:w="0" w:type="auto"/>
            <w:vAlign w:val="center"/>
          </w:tcPr>
          <w:p w:rsidR="00AD0566" w:rsidRDefault="00AD0566" w:rsidP="006916CE">
            <w:pPr>
              <w:pStyle w:val="TableTextSmall"/>
              <w:keepNext/>
              <w:jc w:val="right"/>
            </w:pPr>
            <w:r>
              <w:rPr>
                <w:snapToGrid/>
                <w:color w:val="000000"/>
                <w:szCs w:val="16"/>
                <w:lang w:eastAsia="en-AU"/>
              </w:rPr>
              <w:t>1,534,183</w:t>
            </w:r>
          </w:p>
        </w:tc>
        <w:tc>
          <w:tcPr>
            <w:tcW w:w="0" w:type="auto"/>
            <w:vAlign w:val="center"/>
          </w:tcPr>
          <w:p w:rsidR="00AD0566" w:rsidRDefault="00AD0566" w:rsidP="006916CE">
            <w:pPr>
              <w:pStyle w:val="TableTextSmall"/>
              <w:keepNext/>
              <w:jc w:val="right"/>
            </w:pPr>
            <w:r>
              <w:rPr>
                <w:snapToGrid/>
                <w:color w:val="000000"/>
                <w:szCs w:val="16"/>
                <w:lang w:eastAsia="en-AU"/>
              </w:rPr>
              <w:t>1,481,922</w:t>
            </w:r>
          </w:p>
        </w:tc>
        <w:tc>
          <w:tcPr>
            <w:tcW w:w="0" w:type="auto"/>
            <w:vAlign w:val="center"/>
          </w:tcPr>
          <w:p w:rsidR="00AD0566" w:rsidRDefault="00AD0566" w:rsidP="006916CE">
            <w:pPr>
              <w:pStyle w:val="TableTextSmall"/>
              <w:keepNext/>
              <w:jc w:val="right"/>
            </w:pPr>
            <w:r>
              <w:rPr>
                <w:snapToGrid/>
                <w:color w:val="000000"/>
                <w:szCs w:val="16"/>
                <w:lang w:eastAsia="en-AU"/>
              </w:rPr>
              <w:t>1,090,251</w:t>
            </w:r>
          </w:p>
        </w:tc>
      </w:tr>
      <w:tr w:rsidR="00AD0566" w:rsidTr="006916CE">
        <w:tc>
          <w:tcPr>
            <w:tcW w:w="0" w:type="auto"/>
          </w:tcPr>
          <w:p w:rsidR="00AD0566" w:rsidRDefault="00AD0566" w:rsidP="006916CE">
            <w:pPr>
              <w:pStyle w:val="TableTextSmall"/>
              <w:keepNext/>
            </w:pPr>
            <w:r>
              <w:rPr>
                <w:snapToGrid/>
                <w:color w:val="000000"/>
                <w:szCs w:val="16"/>
                <w:lang w:eastAsia="en-AU"/>
              </w:rPr>
              <w:t>Whittlesea (C)</w:t>
            </w:r>
          </w:p>
        </w:tc>
        <w:tc>
          <w:tcPr>
            <w:tcW w:w="0" w:type="auto"/>
            <w:vAlign w:val="center"/>
          </w:tcPr>
          <w:p w:rsidR="00AD0566" w:rsidRDefault="00AD0566" w:rsidP="006916CE">
            <w:pPr>
              <w:pStyle w:val="TableTextSmall"/>
              <w:keepNext/>
              <w:jc w:val="right"/>
            </w:pPr>
            <w:r>
              <w:rPr>
                <w:snapToGrid/>
                <w:color w:val="000000"/>
                <w:szCs w:val="16"/>
                <w:lang w:eastAsia="en-AU"/>
              </w:rPr>
              <w:t>924,459</w:t>
            </w:r>
          </w:p>
        </w:tc>
        <w:tc>
          <w:tcPr>
            <w:tcW w:w="0" w:type="auto"/>
            <w:vAlign w:val="center"/>
          </w:tcPr>
          <w:p w:rsidR="00AD0566" w:rsidRDefault="00AD0566" w:rsidP="006916CE">
            <w:pPr>
              <w:pStyle w:val="TableTextSmall"/>
              <w:keepNext/>
              <w:jc w:val="right"/>
            </w:pPr>
            <w:r>
              <w:rPr>
                <w:snapToGrid/>
                <w:color w:val="000000"/>
                <w:szCs w:val="16"/>
                <w:lang w:eastAsia="en-AU"/>
              </w:rPr>
              <w:t>1,165,457</w:t>
            </w:r>
          </w:p>
        </w:tc>
        <w:tc>
          <w:tcPr>
            <w:tcW w:w="0" w:type="auto"/>
            <w:vAlign w:val="center"/>
          </w:tcPr>
          <w:p w:rsidR="00AD0566" w:rsidRDefault="00AD0566" w:rsidP="006916CE">
            <w:pPr>
              <w:pStyle w:val="TableTextSmall"/>
              <w:keepNext/>
              <w:jc w:val="right"/>
            </w:pPr>
            <w:r>
              <w:rPr>
                <w:snapToGrid/>
                <w:color w:val="000000"/>
                <w:szCs w:val="16"/>
                <w:lang w:eastAsia="en-AU"/>
              </w:rPr>
              <w:t>977,383</w:t>
            </w:r>
          </w:p>
        </w:tc>
        <w:tc>
          <w:tcPr>
            <w:tcW w:w="0" w:type="auto"/>
            <w:vAlign w:val="center"/>
          </w:tcPr>
          <w:p w:rsidR="00AD0566" w:rsidRDefault="00AD0566" w:rsidP="006916CE">
            <w:pPr>
              <w:pStyle w:val="TableTextSmall"/>
              <w:keepNext/>
              <w:jc w:val="right"/>
            </w:pPr>
            <w:r>
              <w:rPr>
                <w:snapToGrid/>
                <w:color w:val="000000"/>
                <w:szCs w:val="16"/>
                <w:lang w:eastAsia="en-AU"/>
              </w:rPr>
              <w:t>971,214</w:t>
            </w:r>
          </w:p>
        </w:tc>
        <w:tc>
          <w:tcPr>
            <w:tcW w:w="0" w:type="auto"/>
            <w:vAlign w:val="center"/>
          </w:tcPr>
          <w:p w:rsidR="00AD0566" w:rsidRDefault="00AD0566" w:rsidP="006916CE">
            <w:pPr>
              <w:pStyle w:val="TableTextSmall"/>
              <w:keepNext/>
              <w:jc w:val="right"/>
            </w:pPr>
            <w:r>
              <w:rPr>
                <w:snapToGrid/>
                <w:color w:val="000000"/>
                <w:szCs w:val="16"/>
                <w:lang w:eastAsia="en-AU"/>
              </w:rPr>
              <w:t>1,338,723</w:t>
            </w:r>
          </w:p>
        </w:tc>
        <w:tc>
          <w:tcPr>
            <w:tcW w:w="0" w:type="auto"/>
            <w:vAlign w:val="center"/>
          </w:tcPr>
          <w:p w:rsidR="00AD0566" w:rsidRDefault="00AD0566" w:rsidP="006916CE">
            <w:pPr>
              <w:pStyle w:val="TableTextSmall"/>
              <w:keepNext/>
              <w:jc w:val="right"/>
            </w:pPr>
            <w:r>
              <w:rPr>
                <w:snapToGrid/>
                <w:color w:val="000000"/>
                <w:szCs w:val="16"/>
                <w:lang w:eastAsia="en-AU"/>
              </w:rPr>
              <w:t>1,262,234</w:t>
            </w:r>
          </w:p>
        </w:tc>
        <w:tc>
          <w:tcPr>
            <w:tcW w:w="0" w:type="auto"/>
            <w:vAlign w:val="center"/>
          </w:tcPr>
          <w:p w:rsidR="00AD0566" w:rsidRDefault="00AD0566" w:rsidP="006916CE">
            <w:pPr>
              <w:pStyle w:val="TableTextSmall"/>
              <w:keepNext/>
              <w:jc w:val="right"/>
            </w:pPr>
            <w:r>
              <w:rPr>
                <w:snapToGrid/>
                <w:color w:val="000000"/>
                <w:szCs w:val="16"/>
                <w:lang w:eastAsia="en-AU"/>
              </w:rPr>
              <w:t>942,215</w:t>
            </w:r>
          </w:p>
        </w:tc>
      </w:tr>
      <w:tr w:rsidR="00AD0566" w:rsidTr="006916CE">
        <w:tc>
          <w:tcPr>
            <w:tcW w:w="0" w:type="auto"/>
          </w:tcPr>
          <w:p w:rsidR="00AD0566" w:rsidRDefault="00AD0566" w:rsidP="006916CE">
            <w:pPr>
              <w:pStyle w:val="TableTextSmall"/>
              <w:keepNext/>
            </w:pPr>
            <w:r>
              <w:rPr>
                <w:snapToGrid/>
                <w:color w:val="000000"/>
                <w:szCs w:val="16"/>
                <w:lang w:eastAsia="en-AU"/>
              </w:rPr>
              <w:t>Port Phillip (C)</w:t>
            </w:r>
          </w:p>
        </w:tc>
        <w:tc>
          <w:tcPr>
            <w:tcW w:w="0" w:type="auto"/>
            <w:vAlign w:val="center"/>
          </w:tcPr>
          <w:p w:rsidR="00AD0566" w:rsidRDefault="00AD0566" w:rsidP="006916CE">
            <w:pPr>
              <w:pStyle w:val="TableTextSmall"/>
              <w:keepNext/>
              <w:jc w:val="right"/>
            </w:pPr>
            <w:r>
              <w:rPr>
                <w:snapToGrid/>
                <w:color w:val="000000"/>
                <w:szCs w:val="16"/>
                <w:lang w:eastAsia="en-AU"/>
              </w:rPr>
              <w:t>918,445</w:t>
            </w:r>
          </w:p>
        </w:tc>
        <w:tc>
          <w:tcPr>
            <w:tcW w:w="0" w:type="auto"/>
            <w:vAlign w:val="center"/>
          </w:tcPr>
          <w:p w:rsidR="00AD0566" w:rsidRDefault="00AD0566" w:rsidP="006916CE">
            <w:pPr>
              <w:pStyle w:val="TableTextSmall"/>
              <w:keepNext/>
              <w:jc w:val="right"/>
            </w:pPr>
            <w:r>
              <w:rPr>
                <w:snapToGrid/>
                <w:color w:val="000000"/>
                <w:szCs w:val="16"/>
                <w:lang w:eastAsia="en-AU"/>
              </w:rPr>
              <w:t>1,159,544</w:t>
            </w:r>
          </w:p>
        </w:tc>
        <w:tc>
          <w:tcPr>
            <w:tcW w:w="0" w:type="auto"/>
            <w:vAlign w:val="center"/>
          </w:tcPr>
          <w:p w:rsidR="00AD0566" w:rsidRDefault="00AD0566" w:rsidP="006916CE">
            <w:pPr>
              <w:pStyle w:val="TableTextSmall"/>
              <w:keepNext/>
              <w:jc w:val="right"/>
            </w:pPr>
            <w:r>
              <w:rPr>
                <w:snapToGrid/>
                <w:color w:val="000000"/>
                <w:szCs w:val="16"/>
                <w:lang w:eastAsia="en-AU"/>
              </w:rPr>
              <w:t>1,101,405</w:t>
            </w:r>
          </w:p>
        </w:tc>
        <w:tc>
          <w:tcPr>
            <w:tcW w:w="0" w:type="auto"/>
            <w:vAlign w:val="center"/>
          </w:tcPr>
          <w:p w:rsidR="00AD0566" w:rsidRDefault="00AD0566" w:rsidP="006916CE">
            <w:pPr>
              <w:pStyle w:val="TableTextSmall"/>
              <w:keepNext/>
              <w:jc w:val="right"/>
            </w:pPr>
            <w:r>
              <w:rPr>
                <w:snapToGrid/>
                <w:color w:val="000000"/>
                <w:szCs w:val="16"/>
                <w:lang w:eastAsia="en-AU"/>
              </w:rPr>
              <w:t>966,981</w:t>
            </w:r>
          </w:p>
        </w:tc>
        <w:tc>
          <w:tcPr>
            <w:tcW w:w="0" w:type="auto"/>
            <w:vAlign w:val="center"/>
          </w:tcPr>
          <w:p w:rsidR="00AD0566" w:rsidRDefault="00AD0566" w:rsidP="006916CE">
            <w:pPr>
              <w:pStyle w:val="TableTextSmall"/>
              <w:keepNext/>
              <w:jc w:val="right"/>
            </w:pPr>
            <w:r>
              <w:rPr>
                <w:snapToGrid/>
                <w:color w:val="000000"/>
                <w:szCs w:val="16"/>
                <w:lang w:eastAsia="en-AU"/>
              </w:rPr>
              <w:t>1,338,943</w:t>
            </w:r>
          </w:p>
        </w:tc>
        <w:tc>
          <w:tcPr>
            <w:tcW w:w="0" w:type="auto"/>
            <w:vAlign w:val="center"/>
          </w:tcPr>
          <w:p w:rsidR="00AD0566" w:rsidRDefault="00AD0566" w:rsidP="006916CE">
            <w:pPr>
              <w:pStyle w:val="TableTextSmall"/>
              <w:keepNext/>
              <w:jc w:val="right"/>
            </w:pPr>
            <w:r>
              <w:rPr>
                <w:snapToGrid/>
                <w:color w:val="000000"/>
                <w:szCs w:val="16"/>
                <w:lang w:eastAsia="en-AU"/>
              </w:rPr>
              <w:t>511,981</w:t>
            </w:r>
          </w:p>
        </w:tc>
        <w:tc>
          <w:tcPr>
            <w:tcW w:w="0" w:type="auto"/>
            <w:vAlign w:val="center"/>
          </w:tcPr>
          <w:p w:rsidR="00AD0566" w:rsidRDefault="00AD0566" w:rsidP="006916CE">
            <w:pPr>
              <w:pStyle w:val="TableTextSmall"/>
              <w:keepNext/>
              <w:jc w:val="right"/>
            </w:pPr>
            <w:r>
              <w:rPr>
                <w:snapToGrid/>
                <w:color w:val="000000"/>
                <w:szCs w:val="16"/>
                <w:lang w:eastAsia="en-AU"/>
              </w:rPr>
              <w:t>926,745</w:t>
            </w:r>
          </w:p>
        </w:tc>
      </w:tr>
      <w:tr w:rsidR="00AD0566" w:rsidTr="006916CE">
        <w:tc>
          <w:tcPr>
            <w:tcW w:w="0" w:type="auto"/>
          </w:tcPr>
          <w:p w:rsidR="00AD0566" w:rsidRDefault="00AD0566" w:rsidP="006916CE">
            <w:pPr>
              <w:pStyle w:val="TableTextSmall"/>
              <w:keepNext/>
            </w:pPr>
            <w:r>
              <w:rPr>
                <w:snapToGrid/>
                <w:color w:val="000000"/>
                <w:szCs w:val="16"/>
                <w:lang w:eastAsia="en-AU"/>
              </w:rPr>
              <w:t>Mitchell (S)</w:t>
            </w:r>
          </w:p>
        </w:tc>
        <w:tc>
          <w:tcPr>
            <w:tcW w:w="0" w:type="auto"/>
            <w:vAlign w:val="center"/>
          </w:tcPr>
          <w:p w:rsidR="00AD0566" w:rsidRDefault="00AD0566" w:rsidP="006916CE">
            <w:pPr>
              <w:pStyle w:val="TableTextSmall"/>
              <w:keepNext/>
              <w:jc w:val="right"/>
            </w:pPr>
            <w:r>
              <w:rPr>
                <w:snapToGrid/>
                <w:color w:val="000000"/>
                <w:szCs w:val="16"/>
                <w:lang w:eastAsia="en-AU"/>
              </w:rPr>
              <w:t>911,085</w:t>
            </w:r>
          </w:p>
        </w:tc>
        <w:tc>
          <w:tcPr>
            <w:tcW w:w="0" w:type="auto"/>
            <w:vAlign w:val="center"/>
          </w:tcPr>
          <w:p w:rsidR="00AD0566" w:rsidRDefault="00AD0566" w:rsidP="006916CE">
            <w:pPr>
              <w:pStyle w:val="TableTextSmall"/>
              <w:keepNext/>
              <w:jc w:val="right"/>
            </w:pPr>
            <w:r>
              <w:rPr>
                <w:snapToGrid/>
                <w:color w:val="000000"/>
                <w:szCs w:val="16"/>
                <w:lang w:eastAsia="en-AU"/>
              </w:rPr>
              <w:t>1,194,537</w:t>
            </w:r>
          </w:p>
        </w:tc>
        <w:tc>
          <w:tcPr>
            <w:tcW w:w="0" w:type="auto"/>
            <w:vAlign w:val="center"/>
          </w:tcPr>
          <w:p w:rsidR="00AD0566" w:rsidRDefault="00AD0566" w:rsidP="006916CE">
            <w:pPr>
              <w:pStyle w:val="TableTextSmall"/>
              <w:keepNext/>
              <w:jc w:val="right"/>
            </w:pPr>
            <w:r>
              <w:rPr>
                <w:snapToGrid/>
                <w:color w:val="000000"/>
                <w:szCs w:val="16"/>
                <w:lang w:eastAsia="en-AU"/>
              </w:rPr>
              <w:t>380,469</w:t>
            </w:r>
          </w:p>
        </w:tc>
        <w:tc>
          <w:tcPr>
            <w:tcW w:w="0" w:type="auto"/>
            <w:vAlign w:val="center"/>
          </w:tcPr>
          <w:p w:rsidR="00AD0566" w:rsidRDefault="00AD0566" w:rsidP="006916CE">
            <w:pPr>
              <w:pStyle w:val="TableTextSmall"/>
              <w:keepNext/>
              <w:jc w:val="right"/>
            </w:pPr>
            <w:r>
              <w:rPr>
                <w:snapToGrid/>
                <w:color w:val="000000"/>
                <w:szCs w:val="16"/>
                <w:lang w:eastAsia="en-AU"/>
              </w:rPr>
              <w:t>995,447</w:t>
            </w:r>
          </w:p>
        </w:tc>
        <w:tc>
          <w:tcPr>
            <w:tcW w:w="0" w:type="auto"/>
            <w:vAlign w:val="center"/>
          </w:tcPr>
          <w:p w:rsidR="00AD0566" w:rsidRDefault="00AD0566" w:rsidP="006916CE">
            <w:pPr>
              <w:pStyle w:val="TableTextSmall"/>
              <w:keepNext/>
              <w:jc w:val="right"/>
            </w:pPr>
            <w:r>
              <w:rPr>
                <w:snapToGrid/>
                <w:color w:val="000000"/>
                <w:szCs w:val="16"/>
                <w:lang w:eastAsia="en-AU"/>
              </w:rPr>
              <w:t>1,469,000</w:t>
            </w:r>
          </w:p>
        </w:tc>
        <w:tc>
          <w:tcPr>
            <w:tcW w:w="0" w:type="auto"/>
            <w:vAlign w:val="center"/>
          </w:tcPr>
          <w:p w:rsidR="00AD0566" w:rsidRDefault="00AD0566" w:rsidP="006916CE">
            <w:pPr>
              <w:pStyle w:val="TableTextSmall"/>
              <w:keepNext/>
              <w:jc w:val="right"/>
            </w:pPr>
            <w:r>
              <w:rPr>
                <w:snapToGrid/>
                <w:color w:val="000000"/>
                <w:szCs w:val="16"/>
                <w:lang w:eastAsia="en-AU"/>
              </w:rPr>
              <w:t>1,120,634</w:t>
            </w:r>
          </w:p>
        </w:tc>
        <w:tc>
          <w:tcPr>
            <w:tcW w:w="0" w:type="auto"/>
            <w:vAlign w:val="center"/>
          </w:tcPr>
          <w:p w:rsidR="00AD0566" w:rsidRDefault="00AD0566" w:rsidP="006916CE">
            <w:pPr>
              <w:pStyle w:val="TableTextSmall"/>
              <w:keepNext/>
              <w:jc w:val="right"/>
            </w:pPr>
            <w:r>
              <w:rPr>
                <w:snapToGrid/>
                <w:color w:val="000000"/>
                <w:szCs w:val="16"/>
                <w:lang w:eastAsia="en-AU"/>
              </w:rPr>
              <w:t>927,416</w:t>
            </w:r>
          </w:p>
        </w:tc>
      </w:tr>
      <w:tr w:rsidR="00AD0566" w:rsidTr="006916CE">
        <w:tc>
          <w:tcPr>
            <w:tcW w:w="0" w:type="auto"/>
          </w:tcPr>
          <w:p w:rsidR="00AD0566" w:rsidRDefault="00AD0566" w:rsidP="006916CE">
            <w:pPr>
              <w:pStyle w:val="TableTextSmall"/>
              <w:keepNext/>
            </w:pPr>
            <w:r>
              <w:rPr>
                <w:snapToGrid/>
                <w:color w:val="000000"/>
                <w:szCs w:val="16"/>
                <w:lang w:eastAsia="en-AU"/>
              </w:rPr>
              <w:t>Monash (C)</w:t>
            </w:r>
          </w:p>
        </w:tc>
        <w:tc>
          <w:tcPr>
            <w:tcW w:w="0" w:type="auto"/>
            <w:vAlign w:val="center"/>
          </w:tcPr>
          <w:p w:rsidR="00AD0566" w:rsidRDefault="00AD0566" w:rsidP="006916CE">
            <w:pPr>
              <w:pStyle w:val="TableTextSmall"/>
              <w:keepNext/>
              <w:jc w:val="right"/>
            </w:pPr>
            <w:r>
              <w:rPr>
                <w:snapToGrid/>
                <w:color w:val="000000"/>
                <w:szCs w:val="16"/>
                <w:lang w:eastAsia="en-AU"/>
              </w:rPr>
              <w:t>772,985</w:t>
            </w:r>
          </w:p>
        </w:tc>
        <w:tc>
          <w:tcPr>
            <w:tcW w:w="0" w:type="auto"/>
            <w:vAlign w:val="center"/>
          </w:tcPr>
          <w:p w:rsidR="00AD0566" w:rsidRDefault="00AD0566" w:rsidP="006916CE">
            <w:pPr>
              <w:pStyle w:val="TableTextSmall"/>
              <w:keepNext/>
              <w:jc w:val="right"/>
            </w:pPr>
            <w:r>
              <w:rPr>
                <w:snapToGrid/>
                <w:color w:val="000000"/>
                <w:szCs w:val="16"/>
                <w:lang w:eastAsia="en-AU"/>
              </w:rPr>
              <w:t>971,846</w:t>
            </w:r>
          </w:p>
        </w:tc>
        <w:tc>
          <w:tcPr>
            <w:tcW w:w="0" w:type="auto"/>
            <w:vAlign w:val="center"/>
          </w:tcPr>
          <w:p w:rsidR="00AD0566" w:rsidRDefault="00AD0566" w:rsidP="006916CE">
            <w:pPr>
              <w:pStyle w:val="TableTextSmall"/>
              <w:keepNext/>
              <w:jc w:val="right"/>
            </w:pPr>
            <w:r>
              <w:rPr>
                <w:snapToGrid/>
                <w:color w:val="000000"/>
                <w:szCs w:val="16"/>
                <w:lang w:eastAsia="en-AU"/>
              </w:rPr>
              <w:t>901,938</w:t>
            </w:r>
          </w:p>
        </w:tc>
        <w:tc>
          <w:tcPr>
            <w:tcW w:w="0" w:type="auto"/>
            <w:vAlign w:val="center"/>
          </w:tcPr>
          <w:p w:rsidR="00AD0566" w:rsidRDefault="00AD0566" w:rsidP="006916CE">
            <w:pPr>
              <w:pStyle w:val="TableTextSmall"/>
              <w:keepNext/>
              <w:jc w:val="right"/>
            </w:pPr>
            <w:r>
              <w:rPr>
                <w:snapToGrid/>
                <w:color w:val="000000"/>
                <w:szCs w:val="16"/>
                <w:lang w:eastAsia="en-AU"/>
              </w:rPr>
              <w:t>809,871</w:t>
            </w:r>
          </w:p>
        </w:tc>
        <w:tc>
          <w:tcPr>
            <w:tcW w:w="0" w:type="auto"/>
            <w:vAlign w:val="center"/>
          </w:tcPr>
          <w:p w:rsidR="00AD0566" w:rsidRDefault="00AD0566" w:rsidP="006916CE">
            <w:pPr>
              <w:pStyle w:val="TableTextSmall"/>
              <w:keepNext/>
              <w:jc w:val="right"/>
            </w:pPr>
            <w:r>
              <w:rPr>
                <w:snapToGrid/>
                <w:color w:val="000000"/>
                <w:szCs w:val="16"/>
                <w:lang w:eastAsia="en-AU"/>
              </w:rPr>
              <w:t>1,103,675</w:t>
            </w:r>
          </w:p>
        </w:tc>
        <w:tc>
          <w:tcPr>
            <w:tcW w:w="0" w:type="auto"/>
            <w:vAlign w:val="center"/>
          </w:tcPr>
          <w:p w:rsidR="00AD0566" w:rsidRDefault="00AD0566" w:rsidP="006916CE">
            <w:pPr>
              <w:pStyle w:val="TableTextSmall"/>
              <w:keepNext/>
              <w:jc w:val="right"/>
            </w:pPr>
            <w:r>
              <w:rPr>
                <w:snapToGrid/>
                <w:color w:val="000000"/>
                <w:szCs w:val="16"/>
                <w:lang w:eastAsia="en-AU"/>
              </w:rPr>
              <w:t>758,109</w:t>
            </w:r>
          </w:p>
        </w:tc>
        <w:tc>
          <w:tcPr>
            <w:tcW w:w="0" w:type="auto"/>
            <w:vAlign w:val="center"/>
          </w:tcPr>
          <w:p w:rsidR="00AD0566" w:rsidRDefault="00AD0566" w:rsidP="006916CE">
            <w:pPr>
              <w:pStyle w:val="TableTextSmall"/>
              <w:keepNext/>
              <w:jc w:val="right"/>
            </w:pPr>
            <w:r>
              <w:rPr>
                <w:snapToGrid/>
                <w:color w:val="000000"/>
                <w:szCs w:val="16"/>
                <w:lang w:eastAsia="en-AU"/>
              </w:rPr>
              <w:t>780,892</w:t>
            </w:r>
          </w:p>
        </w:tc>
      </w:tr>
      <w:tr w:rsidR="00AD0566" w:rsidTr="006916CE">
        <w:tc>
          <w:tcPr>
            <w:tcW w:w="0" w:type="auto"/>
          </w:tcPr>
          <w:p w:rsidR="00AD0566" w:rsidRDefault="00AD0566" w:rsidP="006916CE">
            <w:pPr>
              <w:pStyle w:val="TableTextSmall"/>
              <w:keepNext/>
            </w:pPr>
            <w:r>
              <w:rPr>
                <w:snapToGrid/>
                <w:color w:val="000000"/>
                <w:szCs w:val="16"/>
                <w:lang w:eastAsia="en-AU"/>
              </w:rPr>
              <w:t>Greater Dandenong (C)</w:t>
            </w:r>
          </w:p>
        </w:tc>
        <w:tc>
          <w:tcPr>
            <w:tcW w:w="0" w:type="auto"/>
            <w:vAlign w:val="center"/>
          </w:tcPr>
          <w:p w:rsidR="00AD0566" w:rsidRDefault="00AD0566" w:rsidP="006916CE">
            <w:pPr>
              <w:pStyle w:val="TableTextSmall"/>
              <w:keepNext/>
              <w:jc w:val="right"/>
            </w:pPr>
            <w:r>
              <w:rPr>
                <w:snapToGrid/>
                <w:color w:val="000000"/>
                <w:szCs w:val="16"/>
                <w:lang w:eastAsia="en-AU"/>
              </w:rPr>
              <w:t>761,496</w:t>
            </w:r>
          </w:p>
        </w:tc>
        <w:tc>
          <w:tcPr>
            <w:tcW w:w="0" w:type="auto"/>
            <w:vAlign w:val="center"/>
          </w:tcPr>
          <w:p w:rsidR="00AD0566" w:rsidRDefault="00AD0566" w:rsidP="006916CE">
            <w:pPr>
              <w:pStyle w:val="TableTextSmall"/>
              <w:keepNext/>
              <w:jc w:val="right"/>
            </w:pPr>
            <w:r>
              <w:rPr>
                <w:snapToGrid/>
                <w:color w:val="000000"/>
                <w:szCs w:val="16"/>
                <w:lang w:eastAsia="en-AU"/>
              </w:rPr>
              <w:t>956,014</w:t>
            </w:r>
          </w:p>
        </w:tc>
        <w:tc>
          <w:tcPr>
            <w:tcW w:w="0" w:type="auto"/>
            <w:vAlign w:val="center"/>
          </w:tcPr>
          <w:p w:rsidR="00AD0566" w:rsidRDefault="00AD0566" w:rsidP="006916CE">
            <w:pPr>
              <w:pStyle w:val="TableTextSmall"/>
              <w:keepNext/>
              <w:jc w:val="right"/>
            </w:pPr>
            <w:r>
              <w:rPr>
                <w:snapToGrid/>
                <w:color w:val="000000"/>
                <w:szCs w:val="16"/>
                <w:lang w:eastAsia="en-AU"/>
              </w:rPr>
              <w:t>854,153</w:t>
            </w:r>
          </w:p>
        </w:tc>
        <w:tc>
          <w:tcPr>
            <w:tcW w:w="0" w:type="auto"/>
            <w:vAlign w:val="center"/>
          </w:tcPr>
          <w:p w:rsidR="00AD0566" w:rsidRDefault="00AD0566" w:rsidP="006916CE">
            <w:pPr>
              <w:pStyle w:val="TableTextSmall"/>
              <w:keepNext/>
              <w:jc w:val="right"/>
            </w:pPr>
            <w:r>
              <w:rPr>
                <w:snapToGrid/>
                <w:color w:val="000000"/>
                <w:szCs w:val="16"/>
                <w:lang w:eastAsia="en-AU"/>
              </w:rPr>
              <w:t>796,678</w:t>
            </w:r>
          </w:p>
        </w:tc>
        <w:tc>
          <w:tcPr>
            <w:tcW w:w="0" w:type="auto"/>
            <w:vAlign w:val="center"/>
          </w:tcPr>
          <w:p w:rsidR="00AD0566" w:rsidRDefault="00AD0566" w:rsidP="006916CE">
            <w:pPr>
              <w:pStyle w:val="TableTextSmall"/>
              <w:keepNext/>
              <w:jc w:val="right"/>
            </w:pPr>
            <w:r>
              <w:rPr>
                <w:snapToGrid/>
                <w:color w:val="000000"/>
                <w:szCs w:val="16"/>
                <w:lang w:eastAsia="en-AU"/>
              </w:rPr>
              <w:t>1,085,169</w:t>
            </w:r>
          </w:p>
        </w:tc>
        <w:tc>
          <w:tcPr>
            <w:tcW w:w="0" w:type="auto"/>
            <w:vAlign w:val="center"/>
          </w:tcPr>
          <w:p w:rsidR="00AD0566" w:rsidRDefault="00AD0566" w:rsidP="006916CE">
            <w:pPr>
              <w:pStyle w:val="TableTextSmall"/>
              <w:keepNext/>
              <w:jc w:val="right"/>
            </w:pPr>
            <w:r>
              <w:rPr>
                <w:snapToGrid/>
                <w:color w:val="000000"/>
                <w:szCs w:val="16"/>
                <w:lang w:eastAsia="en-AU"/>
              </w:rPr>
              <w:t>662,431</w:t>
            </w:r>
          </w:p>
        </w:tc>
        <w:tc>
          <w:tcPr>
            <w:tcW w:w="0" w:type="auto"/>
            <w:vAlign w:val="center"/>
          </w:tcPr>
          <w:p w:rsidR="00AD0566" w:rsidRDefault="00AD0566" w:rsidP="006916CE">
            <w:pPr>
              <w:pStyle w:val="TableTextSmall"/>
              <w:keepNext/>
              <w:jc w:val="right"/>
            </w:pPr>
            <w:r>
              <w:rPr>
                <w:snapToGrid/>
                <w:color w:val="000000"/>
                <w:szCs w:val="16"/>
                <w:lang w:eastAsia="en-AU"/>
              </w:rPr>
              <w:t>772,785</w:t>
            </w:r>
          </w:p>
        </w:tc>
      </w:tr>
      <w:tr w:rsidR="00AD0566" w:rsidTr="006916CE">
        <w:tc>
          <w:tcPr>
            <w:tcW w:w="0" w:type="auto"/>
          </w:tcPr>
          <w:p w:rsidR="00AD0566" w:rsidRDefault="00AD0566" w:rsidP="006916CE">
            <w:pPr>
              <w:pStyle w:val="TableTextSmall"/>
              <w:keepNext/>
            </w:pPr>
            <w:r>
              <w:rPr>
                <w:snapToGrid/>
                <w:color w:val="000000"/>
                <w:szCs w:val="16"/>
                <w:lang w:eastAsia="en-AU"/>
              </w:rPr>
              <w:t>Moreland (C)</w:t>
            </w:r>
          </w:p>
        </w:tc>
        <w:tc>
          <w:tcPr>
            <w:tcW w:w="0" w:type="auto"/>
            <w:vAlign w:val="center"/>
          </w:tcPr>
          <w:p w:rsidR="00AD0566" w:rsidRDefault="00AD0566" w:rsidP="006916CE">
            <w:pPr>
              <w:pStyle w:val="TableTextSmall"/>
              <w:keepNext/>
              <w:jc w:val="right"/>
            </w:pPr>
            <w:r>
              <w:rPr>
                <w:snapToGrid/>
                <w:color w:val="000000"/>
                <w:szCs w:val="16"/>
                <w:lang w:eastAsia="en-AU"/>
              </w:rPr>
              <w:t>712,208</w:t>
            </w:r>
          </w:p>
        </w:tc>
        <w:tc>
          <w:tcPr>
            <w:tcW w:w="0" w:type="auto"/>
            <w:vAlign w:val="center"/>
          </w:tcPr>
          <w:p w:rsidR="00AD0566" w:rsidRDefault="00AD0566" w:rsidP="006916CE">
            <w:pPr>
              <w:pStyle w:val="TableTextSmall"/>
              <w:keepNext/>
              <w:jc w:val="right"/>
            </w:pPr>
            <w:r>
              <w:rPr>
                <w:snapToGrid/>
                <w:color w:val="000000"/>
                <w:szCs w:val="16"/>
                <w:lang w:eastAsia="en-AU"/>
              </w:rPr>
              <w:t>904,519</w:t>
            </w:r>
          </w:p>
        </w:tc>
        <w:tc>
          <w:tcPr>
            <w:tcW w:w="0" w:type="auto"/>
            <w:vAlign w:val="center"/>
          </w:tcPr>
          <w:p w:rsidR="00AD0566" w:rsidRDefault="00AD0566" w:rsidP="006916CE">
            <w:pPr>
              <w:pStyle w:val="TableTextSmall"/>
              <w:keepNext/>
              <w:jc w:val="right"/>
            </w:pPr>
            <w:r>
              <w:rPr>
                <w:snapToGrid/>
                <w:color w:val="000000"/>
                <w:szCs w:val="16"/>
                <w:lang w:eastAsia="en-AU"/>
              </w:rPr>
              <w:t>853,234</w:t>
            </w:r>
          </w:p>
        </w:tc>
        <w:tc>
          <w:tcPr>
            <w:tcW w:w="0" w:type="auto"/>
            <w:vAlign w:val="center"/>
          </w:tcPr>
          <w:p w:rsidR="00AD0566" w:rsidRDefault="00AD0566" w:rsidP="006916CE">
            <w:pPr>
              <w:pStyle w:val="TableTextSmall"/>
              <w:keepNext/>
              <w:jc w:val="right"/>
            </w:pPr>
            <w:r>
              <w:rPr>
                <w:snapToGrid/>
                <w:color w:val="000000"/>
                <w:szCs w:val="16"/>
                <w:lang w:eastAsia="en-AU"/>
              </w:rPr>
              <w:t>753,766</w:t>
            </w:r>
          </w:p>
        </w:tc>
        <w:tc>
          <w:tcPr>
            <w:tcW w:w="0" w:type="auto"/>
            <w:vAlign w:val="center"/>
          </w:tcPr>
          <w:p w:rsidR="00AD0566" w:rsidRDefault="00AD0566" w:rsidP="006916CE">
            <w:pPr>
              <w:pStyle w:val="TableTextSmall"/>
              <w:keepNext/>
              <w:jc w:val="right"/>
            </w:pPr>
            <w:r>
              <w:rPr>
                <w:snapToGrid/>
                <w:color w:val="000000"/>
                <w:szCs w:val="16"/>
                <w:lang w:eastAsia="en-AU"/>
              </w:rPr>
              <w:t>1,050,224</w:t>
            </w:r>
          </w:p>
        </w:tc>
        <w:tc>
          <w:tcPr>
            <w:tcW w:w="0" w:type="auto"/>
            <w:vAlign w:val="center"/>
          </w:tcPr>
          <w:p w:rsidR="00AD0566" w:rsidRDefault="00AD0566" w:rsidP="006916CE">
            <w:pPr>
              <w:pStyle w:val="TableTextSmall"/>
              <w:keepNext/>
              <w:jc w:val="right"/>
            </w:pPr>
            <w:r>
              <w:rPr>
                <w:snapToGrid/>
                <w:color w:val="000000"/>
                <w:szCs w:val="16"/>
                <w:lang w:eastAsia="en-AU"/>
              </w:rPr>
              <w:t>535,756</w:t>
            </w:r>
          </w:p>
        </w:tc>
        <w:tc>
          <w:tcPr>
            <w:tcW w:w="0" w:type="auto"/>
            <w:vAlign w:val="center"/>
          </w:tcPr>
          <w:p w:rsidR="00AD0566" w:rsidRDefault="00AD0566" w:rsidP="006916CE">
            <w:pPr>
              <w:pStyle w:val="TableTextSmall"/>
              <w:keepNext/>
              <w:jc w:val="right"/>
            </w:pPr>
            <w:r>
              <w:rPr>
                <w:snapToGrid/>
                <w:color w:val="000000"/>
                <w:szCs w:val="16"/>
                <w:lang w:eastAsia="en-AU"/>
              </w:rPr>
              <w:t>723,686</w:t>
            </w:r>
          </w:p>
        </w:tc>
      </w:tr>
      <w:tr w:rsidR="007C0950" w:rsidTr="006916CE">
        <w:trPr>
          <w:cnfStyle w:val="010000000000" w:firstRow="0" w:lastRow="1" w:firstColumn="0" w:lastColumn="0" w:oddVBand="0" w:evenVBand="0" w:oddHBand="0" w:evenHBand="0" w:firstRowFirstColumn="0" w:firstRowLastColumn="0" w:lastRowFirstColumn="0" w:lastRowLastColumn="0"/>
        </w:trPr>
        <w:tc>
          <w:tcPr>
            <w:tcW w:w="0" w:type="auto"/>
          </w:tcPr>
          <w:p w:rsidR="007C0950" w:rsidRDefault="007C0950">
            <w:pPr>
              <w:pStyle w:val="TableTextSmall"/>
              <w:keepNext/>
              <w:rPr>
                <w:snapToGrid/>
                <w:color w:val="000000"/>
                <w:szCs w:val="16"/>
                <w:lang w:eastAsia="en-AU"/>
              </w:rPr>
            </w:pPr>
            <w:r>
              <w:rPr>
                <w:snapToGrid/>
                <w:color w:val="000000"/>
                <w:szCs w:val="16"/>
                <w:lang w:eastAsia="en-AU"/>
              </w:rPr>
              <w:t>Total Victoria</w:t>
            </w:r>
          </w:p>
        </w:tc>
        <w:tc>
          <w:tcPr>
            <w:tcW w:w="0" w:type="auto"/>
            <w:vAlign w:val="center"/>
          </w:tcPr>
          <w:p w:rsidR="007C0950" w:rsidRDefault="007C0950" w:rsidP="00417D11">
            <w:pPr>
              <w:pStyle w:val="TableTextSmall"/>
              <w:keepNext/>
              <w:jc w:val="right"/>
              <w:rPr>
                <w:snapToGrid/>
                <w:color w:val="000000"/>
                <w:szCs w:val="16"/>
                <w:lang w:eastAsia="en-AU"/>
              </w:rPr>
            </w:pPr>
            <w:r w:rsidRPr="00E5092B">
              <w:t>29,995,373</w:t>
            </w:r>
          </w:p>
        </w:tc>
        <w:tc>
          <w:tcPr>
            <w:tcW w:w="0" w:type="auto"/>
            <w:vAlign w:val="center"/>
          </w:tcPr>
          <w:p w:rsidR="007C0950" w:rsidRDefault="007C0950" w:rsidP="00417D11">
            <w:pPr>
              <w:pStyle w:val="TableTextSmall"/>
              <w:keepNext/>
              <w:jc w:val="right"/>
              <w:rPr>
                <w:snapToGrid/>
                <w:color w:val="000000"/>
                <w:szCs w:val="16"/>
                <w:lang w:eastAsia="en-AU"/>
              </w:rPr>
            </w:pPr>
            <w:r w:rsidRPr="00E5092B">
              <w:t>38,160,104</w:t>
            </w:r>
          </w:p>
        </w:tc>
        <w:tc>
          <w:tcPr>
            <w:tcW w:w="0" w:type="auto"/>
            <w:vAlign w:val="center"/>
          </w:tcPr>
          <w:p w:rsidR="007C0950" w:rsidRDefault="007C0950" w:rsidP="00417D11">
            <w:pPr>
              <w:pStyle w:val="TableTextSmall"/>
              <w:keepNext/>
              <w:jc w:val="right"/>
              <w:rPr>
                <w:snapToGrid/>
                <w:color w:val="000000"/>
                <w:szCs w:val="16"/>
                <w:lang w:eastAsia="en-AU"/>
              </w:rPr>
            </w:pPr>
            <w:r w:rsidRPr="00E5092B">
              <w:t>30,308,877</w:t>
            </w:r>
          </w:p>
        </w:tc>
        <w:tc>
          <w:tcPr>
            <w:tcW w:w="0" w:type="auto"/>
            <w:vAlign w:val="center"/>
          </w:tcPr>
          <w:p w:rsidR="007C0950" w:rsidRDefault="007C0950" w:rsidP="00417D11">
            <w:pPr>
              <w:pStyle w:val="TableTextSmall"/>
              <w:keepNext/>
              <w:jc w:val="right"/>
              <w:rPr>
                <w:snapToGrid/>
                <w:color w:val="000000"/>
                <w:szCs w:val="16"/>
                <w:lang w:eastAsia="en-AU"/>
              </w:rPr>
            </w:pPr>
            <w:r w:rsidRPr="00E5092B">
              <w:t>31,843,455</w:t>
            </w:r>
          </w:p>
        </w:tc>
        <w:tc>
          <w:tcPr>
            <w:tcW w:w="0" w:type="auto"/>
            <w:vAlign w:val="center"/>
          </w:tcPr>
          <w:p w:rsidR="007C0950" w:rsidRDefault="007C0950" w:rsidP="00417D11">
            <w:pPr>
              <w:pStyle w:val="TableTextSmall"/>
              <w:keepNext/>
              <w:jc w:val="right"/>
              <w:rPr>
                <w:snapToGrid/>
                <w:color w:val="000000"/>
                <w:szCs w:val="16"/>
                <w:lang w:eastAsia="en-AU"/>
              </w:rPr>
            </w:pPr>
            <w:r w:rsidRPr="00E5092B">
              <w:t>44,896,589</w:t>
            </w:r>
          </w:p>
        </w:tc>
        <w:tc>
          <w:tcPr>
            <w:tcW w:w="0" w:type="auto"/>
            <w:vAlign w:val="center"/>
          </w:tcPr>
          <w:p w:rsidR="007C0950" w:rsidRDefault="007C0950" w:rsidP="00417D11">
            <w:pPr>
              <w:pStyle w:val="TableTextSmall"/>
              <w:keepNext/>
              <w:jc w:val="right"/>
              <w:rPr>
                <w:snapToGrid/>
                <w:color w:val="000000"/>
                <w:szCs w:val="16"/>
                <w:lang w:eastAsia="en-AU"/>
              </w:rPr>
            </w:pPr>
            <w:r w:rsidRPr="00E5092B">
              <w:t>31,448,089</w:t>
            </w:r>
          </w:p>
        </w:tc>
        <w:tc>
          <w:tcPr>
            <w:tcW w:w="0" w:type="auto"/>
            <w:vAlign w:val="center"/>
          </w:tcPr>
          <w:p w:rsidR="007C0950" w:rsidRDefault="007C0950" w:rsidP="00417D11">
            <w:pPr>
              <w:pStyle w:val="TableTextSmall"/>
              <w:keepNext/>
              <w:jc w:val="right"/>
              <w:rPr>
                <w:snapToGrid/>
                <w:color w:val="000000"/>
                <w:szCs w:val="16"/>
                <w:lang w:eastAsia="en-AU"/>
              </w:rPr>
            </w:pPr>
            <w:r w:rsidRPr="00E5092B">
              <w:t>29,807,369</w:t>
            </w:r>
          </w:p>
        </w:tc>
      </w:tr>
    </w:tbl>
    <w:p w:rsidR="00AD0566" w:rsidRDefault="00AD0566" w:rsidP="006916CE">
      <w:pPr>
        <w:pStyle w:val="Sources"/>
        <w:keepNext/>
      </w:pPr>
      <w:r>
        <w:t>Source: PwC analysis</w:t>
      </w:r>
    </w:p>
    <w:p w:rsidR="00554BD8" w:rsidRDefault="00554BD8" w:rsidP="006916CE">
      <w:pPr>
        <w:pStyle w:val="Heading7"/>
      </w:pPr>
      <w:r>
        <w:t>Key differences between scenarios</w:t>
      </w:r>
    </w:p>
    <w:p w:rsidR="003B1CCB" w:rsidRDefault="003B1CCB" w:rsidP="00E100EC">
      <w:pPr>
        <w:pStyle w:val="PwCNormal"/>
      </w:pPr>
      <w:r>
        <w:t xml:space="preserve">The two materially different scenarios from the base case are scenarios </w:t>
      </w:r>
      <w:r w:rsidR="008D6B66">
        <w:t>2</w:t>
      </w:r>
      <w:r>
        <w:t xml:space="preserve"> and </w:t>
      </w:r>
      <w:r w:rsidR="008D6B66">
        <w:t>5</w:t>
      </w:r>
      <w:r>
        <w:t>.</w:t>
      </w:r>
    </w:p>
    <w:p w:rsidR="008D6B66" w:rsidRDefault="008D6B66" w:rsidP="00E100EC">
      <w:pPr>
        <w:pStyle w:val="PwCNormal"/>
      </w:pPr>
      <w:r>
        <w:t xml:space="preserve">In scenario 2, where high demand is considered against the base case supply profile, the top 11 LGAs presented above </w:t>
      </w:r>
      <w:r w:rsidR="00A46831">
        <w:t>are</w:t>
      </w:r>
      <w:r>
        <w:t xml:space="preserve"> estimated to experience an average additional supply shortfall of 26</w:t>
      </w:r>
      <w:r w:rsidR="00FA27CB">
        <w:t xml:space="preserve"> per cent</w:t>
      </w:r>
      <w:r>
        <w:t>, compared to the base case.</w:t>
      </w:r>
    </w:p>
    <w:p w:rsidR="00124EF4" w:rsidRDefault="00124EF4" w:rsidP="00E100EC">
      <w:pPr>
        <w:pStyle w:val="PwCNormal"/>
      </w:pPr>
      <w:r>
        <w:t xml:space="preserve">Under scenario 5, </w:t>
      </w:r>
      <w:r w:rsidR="004638AE">
        <w:t>the analysis has</w:t>
      </w:r>
      <w:r>
        <w:t xml:space="preserve"> considered a ‘severely constrained’ scenario where supply capacity is reduced and demand is higher than baseline. In this scenario, the top 11 LGAs presented above </w:t>
      </w:r>
      <w:r w:rsidR="008D6B66">
        <w:t xml:space="preserve">are </w:t>
      </w:r>
      <w:r>
        <w:t>estimated to experience an average additional supply shortfall of 47</w:t>
      </w:r>
      <w:r w:rsidR="00FA27CB">
        <w:t xml:space="preserve"> per cent</w:t>
      </w:r>
      <w:r>
        <w:t xml:space="preserve"> or nearly one-and-a-half times higher, compared to the base case.</w:t>
      </w:r>
      <w:r w:rsidR="003B1CCB">
        <w:t xml:space="preserve"> </w:t>
      </w:r>
    </w:p>
    <w:p w:rsidR="001E22E5" w:rsidRDefault="00745F3E" w:rsidP="001E22E5">
      <w:pPr>
        <w:pStyle w:val="PwCNormal"/>
        <w:rPr>
          <w:highlight w:val="yellow"/>
        </w:rPr>
      </w:pPr>
      <w:r>
        <w:t>Under</w:t>
      </w:r>
      <w:r w:rsidR="001E22E5">
        <w:t xml:space="preserve"> scenario 3, </w:t>
      </w:r>
      <w:r w:rsidR="004638AE">
        <w:t>the analysis has</w:t>
      </w:r>
      <w:r w:rsidR="001E22E5">
        <w:t xml:space="preserve"> considered a base case supply profile against a redistribution of demand. This time the analysis was undertaken using a demand profile which considers more infill development through increased residential development. These results for the top 11 LGAs presented </w:t>
      </w:r>
      <w:r w:rsidR="00E36D40">
        <w:t xml:space="preserve">above </w:t>
      </w:r>
      <w:r w:rsidR="001E22E5">
        <w:t>illustrate, on average, a reduction of supply shortfall against the base case of 10</w:t>
      </w:r>
      <w:r w:rsidR="00FA27CB">
        <w:t xml:space="preserve"> per cent</w:t>
      </w:r>
      <w:r w:rsidR="001E22E5">
        <w:t xml:space="preserve"> will occur.</w:t>
      </w:r>
    </w:p>
    <w:p w:rsidR="00A26250" w:rsidRDefault="001E22E5" w:rsidP="00A26250">
      <w:pPr>
        <w:pStyle w:val="PwCNormal"/>
      </w:pPr>
      <w:r>
        <w:t xml:space="preserve">In scenario 7, </w:t>
      </w:r>
      <w:r w:rsidR="004638AE">
        <w:t>the analysis has</w:t>
      </w:r>
      <w:r>
        <w:t xml:space="preserve"> considered baseline demand levels against a redistribution of supply. Under this scenario, new work authority applications are assumed to be lodged for sites in close proximity to existing work authorities rather than the sites nominated by respondents in the surveys and interviews. These results are not materially different from the base case only resulting in an additional supply shortfall of 1</w:t>
      </w:r>
      <w:r w:rsidR="00FA27CB">
        <w:t xml:space="preserve"> per cent</w:t>
      </w:r>
      <w:r>
        <w:t>.</w:t>
      </w:r>
    </w:p>
    <w:p w:rsidR="008E4B31" w:rsidRDefault="008E4B31" w:rsidP="006916CE">
      <w:pPr>
        <w:pStyle w:val="Heading7"/>
      </w:pPr>
      <w:r>
        <w:t>Regional analysis</w:t>
      </w:r>
    </w:p>
    <w:p w:rsidR="008E4B31" w:rsidRDefault="008E4B31">
      <w:pPr>
        <w:pStyle w:val="PwCNormal"/>
      </w:pPr>
      <w:r>
        <w:t>Significant regional differences emerge among the scenarios in terms of potential supply shortfalls.</w:t>
      </w:r>
      <w:r w:rsidR="0092343E">
        <w:t xml:space="preserve"> </w:t>
      </w:r>
    </w:p>
    <w:p w:rsidR="00B14282" w:rsidRDefault="00B14282">
      <w:pPr>
        <w:pStyle w:val="PwCNormal"/>
      </w:pPr>
      <w:r>
        <w:t>For example, Ballarat faces a potential supply shortfall of 388</w:t>
      </w:r>
      <w:r w:rsidR="00B3002D">
        <w:t>,000</w:t>
      </w:r>
      <w:r>
        <w:t> tonnes in FY50 under the base case, however under scenario 2 the estimated potential shortfall is 34 per cent greater at 521</w:t>
      </w:r>
      <w:r w:rsidR="00B3002D">
        <w:t>,000</w:t>
      </w:r>
      <w:r>
        <w:t xml:space="preserve"> tonnes. Similarly, Greater Bendigo experiences a 47 per cent increase in its estimated potential supply shortfall in FY50 under scenario 2 relative to the base case. </w:t>
      </w:r>
      <w:r w:rsidR="00691D77">
        <w:t>On the other hand, the differences for Melton are lower. Its potential supply shortfall under scenario 2 is 25 per cent</w:t>
      </w:r>
      <w:r w:rsidR="00691D77" w:rsidRPr="00691D77">
        <w:t xml:space="preserve"> </w:t>
      </w:r>
      <w:r w:rsidR="00691D77">
        <w:t>greater than under the base case, which is significantly lower than the increases seen in Ballarat and Greater Bendigo.</w:t>
      </w:r>
    </w:p>
    <w:p w:rsidR="00B14282" w:rsidRDefault="00B14282">
      <w:pPr>
        <w:pStyle w:val="PwCNormal"/>
      </w:pPr>
      <w:r>
        <w:t>These results emerge under scenario 2 despite demand in each region increasing by 20 per cent relative to the base case and supply remaining unchanged across the State.</w:t>
      </w:r>
    </w:p>
    <w:p w:rsidR="008E4B31" w:rsidRDefault="00691D77">
      <w:pPr>
        <w:pStyle w:val="PwCNormal"/>
      </w:pPr>
      <w:r>
        <w:t xml:space="preserve">These relativities highlight the varied underlying supply profiles of different regions and how Victorian localities are seen to compete for scarce extractive resources. Despite demand increasing uniformly across each Victorian locality, the increased exhaustion of some resources before others that results from this can have varied effects by location. With the largest, most populous locations drawing a larger share of available supply, there are winners and losers in terms of potential locational supply shortfalls in the State. </w:t>
      </w:r>
    </w:p>
    <w:p w:rsidR="00AB12FC" w:rsidRDefault="00AB12FC" w:rsidP="006916CE">
      <w:pPr>
        <w:pStyle w:val="Heading7"/>
      </w:pPr>
      <w:r>
        <w:t>Sensitivity analysis</w:t>
      </w:r>
    </w:p>
    <w:p w:rsidR="00AD0566" w:rsidRDefault="00AD0566" w:rsidP="006916CE">
      <w:pPr>
        <w:pStyle w:val="PwCNormal"/>
      </w:pPr>
      <w:r>
        <w:t xml:space="preserve">The key differences between scenarios highlighted above provide some indication of the sensitivity of the results to different assumptions and input values. </w:t>
      </w:r>
      <w:r w:rsidR="008D07D5">
        <w:t xml:space="preserve">The value of resource demand by location appears to be the key driver of these differences between scenarios. </w:t>
      </w:r>
    </w:p>
    <w:p w:rsidR="008D07D5" w:rsidRDefault="008D07D5" w:rsidP="006916CE">
      <w:pPr>
        <w:pStyle w:val="PwCNormal"/>
      </w:pPr>
      <w:r>
        <w:t xml:space="preserve">In </w:t>
      </w:r>
      <w:r w:rsidR="00BE0EF4">
        <w:t>total</w:t>
      </w:r>
      <w:r>
        <w:t xml:space="preserve"> across all LGAs, the potential supply shortfall under the base case is estimated to be 30 million tonnes</w:t>
      </w:r>
      <w:r w:rsidR="00A46831">
        <w:t xml:space="preserve"> in FY50</w:t>
      </w:r>
      <w:r>
        <w:t xml:space="preserve">. </w:t>
      </w:r>
      <w:r w:rsidR="00F314A2">
        <w:t>Under scenario 2 where supply is at base case levels and demand is 20</w:t>
      </w:r>
      <w:r w:rsidR="00B3002D">
        <w:t xml:space="preserve"> per cent</w:t>
      </w:r>
      <w:r w:rsidR="00F314A2">
        <w:t xml:space="preserve"> above the base case, this potential shortfall is 27 per cent higher at 38.2 million tonnes. In scenario 4 where supply is constrained and demand is at base case levels, the potential aggregate shortfall is only six per cent different to base case levels at 31.8 million tonnes</w:t>
      </w:r>
      <w:r w:rsidR="00A46831">
        <w:t xml:space="preserve"> in FY50</w:t>
      </w:r>
      <w:r w:rsidR="00F314A2">
        <w:t xml:space="preserve">. </w:t>
      </w:r>
    </w:p>
    <w:p w:rsidR="00F314A2" w:rsidRDefault="00F314A2" w:rsidP="006916CE">
      <w:pPr>
        <w:pStyle w:val="PwCNormal"/>
      </w:pPr>
      <w:r>
        <w:t xml:space="preserve">These findings suggest that extractive resource demand is the key driver of the differences between scenarios, while lowering supply capacity is less influential. </w:t>
      </w:r>
    </w:p>
    <w:p w:rsidR="00F314A2" w:rsidRDefault="00F314A2" w:rsidP="006916CE">
      <w:pPr>
        <w:pStyle w:val="PwCNormal"/>
      </w:pPr>
      <w:r>
        <w:t>Taking a view within a particular LGA also supports these findings. For instance, in comparing the potential</w:t>
      </w:r>
      <w:r w:rsidR="00A46831">
        <w:t xml:space="preserve"> FY50</w:t>
      </w:r>
      <w:r>
        <w:t xml:space="preserve"> shortfalls identified for Melbourne LGA under scenarios 2 and 4, the difference against the base case potential shortfall (4.2 million tonnes) is much greater in scenario 2 (5.2 million tonnes) than it is in scenario 4 (4.4 million tonnes).</w:t>
      </w:r>
    </w:p>
    <w:p w:rsidR="00F314A2" w:rsidRDefault="00F314A2" w:rsidP="006916CE">
      <w:pPr>
        <w:pStyle w:val="PwCNormal"/>
      </w:pPr>
      <w:r>
        <w:t xml:space="preserve">It is noted that the results under scenario 7, where some redistribution of supply is modelled, are also not significantly different from those under the base case. </w:t>
      </w:r>
    </w:p>
    <w:p w:rsidR="00554BD8" w:rsidRDefault="00554BD8" w:rsidP="006916CE">
      <w:pPr>
        <w:pStyle w:val="Heading7"/>
      </w:pPr>
      <w:bookmarkStart w:id="242" w:name="_Ref447699852"/>
      <w:r>
        <w:t>Potential for further market impacts</w:t>
      </w:r>
      <w:bookmarkEnd w:id="242"/>
    </w:p>
    <w:p w:rsidR="00554BD8" w:rsidRDefault="00554BD8" w:rsidP="00554BD8">
      <w:pPr>
        <w:pStyle w:val="PwCNormal"/>
      </w:pPr>
      <w:r>
        <w:t xml:space="preserve">In light of the potential supply shortfalls identified in </w:t>
      </w:r>
      <w:r w:rsidR="00AD0566">
        <w:fldChar w:fldCharType="begin"/>
      </w:r>
      <w:r w:rsidR="00AD0566">
        <w:instrText xml:space="preserve"> REF _Ref447638438 \h </w:instrText>
      </w:r>
      <w:r w:rsidR="00AD0566">
        <w:fldChar w:fldCharType="separate"/>
      </w:r>
      <w:r w:rsidR="00E22E13">
        <w:t xml:space="preserve">Table </w:t>
      </w:r>
      <w:r w:rsidR="00E22E13">
        <w:rPr>
          <w:noProof/>
        </w:rPr>
        <w:t>23</w:t>
      </w:r>
      <w:r w:rsidR="00AD0566">
        <w:fldChar w:fldCharType="end"/>
      </w:r>
      <w:r>
        <w:t xml:space="preserve">, some impacts to extractive resource prices are anticipated to occur in </w:t>
      </w:r>
      <w:r w:rsidR="00B3002D">
        <w:t xml:space="preserve">the </w:t>
      </w:r>
      <w:r>
        <w:t xml:space="preserve">future. These impacts would likely be different depending on the relative size of the potential shortfalls, meaning the different scenarios could result in different outcomes for extractives market prices. </w:t>
      </w:r>
    </w:p>
    <w:p w:rsidR="00554BD8" w:rsidRDefault="00554BD8" w:rsidP="00554BD8">
      <w:pPr>
        <w:pStyle w:val="PwCNormal"/>
      </w:pPr>
      <w:r>
        <w:t>While measurement of the expected downstream market impacts is beyond the scope of this study, some discussion these impacts is provided as context for the scenario analysis.</w:t>
      </w:r>
    </w:p>
    <w:p w:rsidR="00554BD8" w:rsidRDefault="00554BD8" w:rsidP="00554BD8">
      <w:pPr>
        <w:pStyle w:val="PwCNormal"/>
      </w:pPr>
      <w:r>
        <w:t xml:space="preserve">Scenarios 2 and 5 are expected to result in the greatest potential supply shortfalls among the scenarios considered. Due to these large potential shortfalls, existing suppliers could gain greater market pricing powers and </w:t>
      </w:r>
      <w:r w:rsidDel="00745F3E">
        <w:t xml:space="preserve">could </w:t>
      </w:r>
      <w:r>
        <w:t xml:space="preserve">put upward pressure on the price of extractive resources. These inflationary effects would likely be passed on to consumers throughout the supply chain. </w:t>
      </w:r>
    </w:p>
    <w:p w:rsidR="00554BD8" w:rsidRDefault="00554BD8" w:rsidP="00554BD8">
      <w:pPr>
        <w:pStyle w:val="PwCNormal"/>
      </w:pPr>
      <w:r>
        <w:t xml:space="preserve">However, as prices start to rise, it would become more attractive for new firms to enter the industry, or alternatively, for </w:t>
      </w:r>
      <w:r w:rsidR="00AB12FC">
        <w:t xml:space="preserve">previous participants </w:t>
      </w:r>
      <w:r>
        <w:t>to re-enter the industry. This could erode the market power of existing suppliers and lead to some moderation of extractives prices</w:t>
      </w:r>
      <w:r w:rsidR="00BE0EF4">
        <w:t xml:space="preserve">, and potentially also increase the relative attractiveness of recyclable materials. </w:t>
      </w:r>
    </w:p>
    <w:p w:rsidR="00554BD8" w:rsidRDefault="00554BD8" w:rsidP="00554BD8">
      <w:pPr>
        <w:pStyle w:val="PwCNormal"/>
      </w:pPr>
      <w:r>
        <w:t xml:space="preserve">As an </w:t>
      </w:r>
      <w:r w:rsidDel="00745F3E">
        <w:t xml:space="preserve">illustrated </w:t>
      </w:r>
      <w:r>
        <w:t xml:space="preserve">illustrative example, an industry survey participant noted it was currently more profitable to convert their existing quarry site into a temporary landfill. Price rises for extractive resources could lead such operators to re-enter the market as the profitability of quarrying could subsequently outweigh that of operating a landfill site. </w:t>
      </w:r>
    </w:p>
    <w:p w:rsidR="00554BD8" w:rsidRDefault="00554BD8" w:rsidP="00A26250">
      <w:pPr>
        <w:pStyle w:val="PwCNormal"/>
      </w:pPr>
      <w:r>
        <w:t xml:space="preserve">Therefore, these scenarios should not be considered in absolute and the potential impact of these market dynamics should be recognised.  </w:t>
      </w:r>
    </w:p>
    <w:p w:rsidR="00F81B49" w:rsidRDefault="00F81B49" w:rsidP="006916CE">
      <w:pPr>
        <w:pStyle w:val="PwCNormal"/>
        <w:sectPr w:rsidR="00F81B49" w:rsidSect="001A7D05">
          <w:pgSz w:w="11907" w:h="16840" w:code="9"/>
          <w:pgMar w:top="1588" w:right="1843" w:bottom="1418" w:left="1843" w:header="567" w:footer="567" w:gutter="0"/>
          <w:cols w:space="227"/>
          <w:titlePg/>
          <w:docGrid w:linePitch="360"/>
        </w:sectPr>
      </w:pPr>
    </w:p>
    <w:p w:rsidR="00454D3E" w:rsidRPr="00B21C81" w:rsidRDefault="00842DC7" w:rsidP="00F81B49">
      <w:pPr>
        <w:pStyle w:val="Heading2"/>
      </w:pPr>
      <w:bookmarkStart w:id="243" w:name="_Toc447628746"/>
      <w:bookmarkStart w:id="244" w:name="_Toc447630216"/>
      <w:bookmarkStart w:id="245" w:name="_Toc448153183"/>
      <w:bookmarkStart w:id="246" w:name="_Toc448917118"/>
      <w:bookmarkStart w:id="247" w:name="_Toc448924825"/>
      <w:bookmarkStart w:id="248" w:name="_Toc448925130"/>
      <w:bookmarkStart w:id="249" w:name="_Toc448935469"/>
      <w:bookmarkStart w:id="250" w:name="_Toc448936088"/>
      <w:bookmarkStart w:id="251" w:name="_Toc449603857"/>
      <w:bookmarkStart w:id="252" w:name="_Toc449603923"/>
      <w:bookmarkStart w:id="253" w:name="_Toc449949932"/>
      <w:bookmarkStart w:id="254" w:name="_Toc449960257"/>
      <w:bookmarkStart w:id="255" w:name="_Toc451239536"/>
      <w:r>
        <w:t xml:space="preserve">Transport </w:t>
      </w:r>
      <w:r w:rsidR="00454D3E">
        <w:t>cost analysis</w:t>
      </w:r>
      <w:bookmarkEnd w:id="227"/>
      <w:bookmarkEnd w:id="228"/>
      <w:bookmarkEnd w:id="229"/>
      <w:bookmarkEnd w:id="243"/>
      <w:bookmarkEnd w:id="244"/>
      <w:bookmarkEnd w:id="245"/>
      <w:bookmarkEnd w:id="246"/>
      <w:bookmarkEnd w:id="247"/>
      <w:bookmarkEnd w:id="248"/>
      <w:bookmarkEnd w:id="249"/>
      <w:bookmarkEnd w:id="250"/>
      <w:bookmarkEnd w:id="251"/>
      <w:bookmarkEnd w:id="252"/>
      <w:bookmarkEnd w:id="253"/>
      <w:bookmarkEnd w:id="254"/>
      <w:bookmarkEnd w:id="255"/>
    </w:p>
    <w:p w:rsidR="00A83AA7" w:rsidRDefault="00A83AA7" w:rsidP="0089081A">
      <w:pPr>
        <w:pStyle w:val="Heading6"/>
      </w:pPr>
      <w:r>
        <w:t xml:space="preserve">Overview of the </w:t>
      </w:r>
      <w:r w:rsidR="00842DC7">
        <w:t xml:space="preserve">transport </w:t>
      </w:r>
      <w:r>
        <w:t>cost analysis</w:t>
      </w:r>
    </w:p>
    <w:p w:rsidR="001C602F" w:rsidRDefault="001C602F" w:rsidP="00454D3E">
      <w:pPr>
        <w:pStyle w:val="PwCNormal"/>
      </w:pPr>
      <w:r>
        <w:t xml:space="preserve">The granular </w:t>
      </w:r>
      <w:r w:rsidR="002060EA">
        <w:t xml:space="preserve">integrated </w:t>
      </w:r>
      <w:r>
        <w:t xml:space="preserve">supply and demand </w:t>
      </w:r>
      <w:r w:rsidR="0018630A">
        <w:t xml:space="preserve">modelling undertaken </w:t>
      </w:r>
      <w:r w:rsidR="002060EA">
        <w:t xml:space="preserve">by PwC </w:t>
      </w:r>
      <w:r w:rsidR="0018630A">
        <w:t>as part of this study utilises an origin-destination matrix of WAs</w:t>
      </w:r>
      <w:r w:rsidR="00A83AA7">
        <w:t xml:space="preserve"> (origins)</w:t>
      </w:r>
      <w:r w:rsidR="0018630A">
        <w:t xml:space="preserve"> </w:t>
      </w:r>
      <w:r w:rsidR="00A83AA7">
        <w:t xml:space="preserve">and Victorian localities (destinations) to understand transport distances across the road network for extractive resources. This means that for each </w:t>
      </w:r>
      <w:r w:rsidR="002060EA">
        <w:t xml:space="preserve">Victorian </w:t>
      </w:r>
      <w:r w:rsidR="00A83AA7">
        <w:t>WA</w:t>
      </w:r>
      <w:r w:rsidR="002060EA">
        <w:t xml:space="preserve"> and locality </w:t>
      </w:r>
      <w:r w:rsidR="00A83AA7">
        <w:t xml:space="preserve">considered in the analysis, the distance by road </w:t>
      </w:r>
      <w:r w:rsidR="002060EA">
        <w:t xml:space="preserve">between each </w:t>
      </w:r>
      <w:r w:rsidR="00A83AA7">
        <w:t xml:space="preserve">is known. </w:t>
      </w:r>
    </w:p>
    <w:p w:rsidR="00A83AA7" w:rsidRDefault="009903E2" w:rsidP="00454D3E">
      <w:pPr>
        <w:pStyle w:val="PwCNormal"/>
      </w:pPr>
      <w:r>
        <w:t>In addition to these transport distances, the modelling measures the resource volumes flowing from each origin WA to the set of matching demand destinations</w:t>
      </w:r>
      <w:r w:rsidR="00107A19">
        <w:t xml:space="preserve">. </w:t>
      </w:r>
      <w:r>
        <w:t>These two items can be combined with the Cost Reckoner</w:t>
      </w:r>
      <w:r>
        <w:rPr>
          <w:rStyle w:val="FootnoteReference"/>
        </w:rPr>
        <w:footnoteReference w:id="24"/>
      </w:r>
      <w:r>
        <w:t xml:space="preserve"> to compute the transport cost associated with each resource flow from WA to demand site in the State from 2015-50</w:t>
      </w:r>
      <w:r w:rsidR="00A83AA7">
        <w:t>.</w:t>
      </w:r>
      <w:r w:rsidR="002060EA">
        <w:rPr>
          <w:rStyle w:val="FootnoteReference"/>
        </w:rPr>
        <w:footnoteReference w:id="25"/>
      </w:r>
      <w:r w:rsidR="00842DC7">
        <w:t xml:space="preserve"> Both the transport costs to industry and the associated non-market costs to society, described here as externality costs, are measured using this approach.</w:t>
      </w:r>
    </w:p>
    <w:p w:rsidR="00B141F6" w:rsidRDefault="00B141F6" w:rsidP="00454D3E">
      <w:pPr>
        <w:pStyle w:val="PwCNormal"/>
      </w:pPr>
      <w:r>
        <w:t xml:space="preserve">Respondents to the industry survey issued as part of this study were asked to indicate how their extractive resources were delivered to market. Overwhelmingly respondents indicated that trucks and trucks with trailers were used to transport these materials within the State, with only a single survey participant indicating limited use of rail transport. </w:t>
      </w:r>
    </w:p>
    <w:p w:rsidR="00192ADF" w:rsidRDefault="00B141F6" w:rsidP="00454D3E">
      <w:pPr>
        <w:pStyle w:val="PwCNormal"/>
      </w:pPr>
      <w:r>
        <w:t>Given these findings, the study has considered only those transport costs associated with road transport of quarry materials. The potential for different modes to be used in future is acknowledged, however. PwC understands, for instance, that extractive resources are regularly transported via the rail network in New South Wales</w:t>
      </w:r>
      <w:r w:rsidR="00192ADF">
        <w:t xml:space="preserve"> (NSW)</w:t>
      </w:r>
      <w:r>
        <w:t>.</w:t>
      </w:r>
      <w:r w:rsidR="00192ADF">
        <w:rPr>
          <w:rStyle w:val="FootnoteReference"/>
        </w:rPr>
        <w:footnoteReference w:id="26"/>
      </w:r>
      <w:r>
        <w:t xml:space="preserve"> </w:t>
      </w:r>
    </w:p>
    <w:p w:rsidR="00B141F6" w:rsidRDefault="00192ADF" w:rsidP="00454D3E">
      <w:pPr>
        <w:pStyle w:val="PwCNormal"/>
      </w:pPr>
      <w:r>
        <w:t xml:space="preserve">It is noted however that the rail network in NSW is more extensive than the existing Victorian network, which could limit the potential for Victorian industry operators to utilise the local network in the near term. </w:t>
      </w:r>
      <w:r w:rsidR="005E2969">
        <w:t>Despite this the analysis acknowledges that a</w:t>
      </w:r>
      <w:r>
        <w:t xml:space="preserve">ny future additions to the Victorian rail network </w:t>
      </w:r>
      <w:r w:rsidR="005E2969">
        <w:t xml:space="preserve">and/or increased cost competitiveness of rail versus other transport modes could induce greater utilisation of rail for transporting quarry products in the State. </w:t>
      </w:r>
    </w:p>
    <w:p w:rsidR="002060EA" w:rsidRDefault="00502274" w:rsidP="0089081A">
      <w:pPr>
        <w:pStyle w:val="Heading6"/>
      </w:pPr>
      <w:r>
        <w:t>Estimation of transport costs</w:t>
      </w:r>
    </w:p>
    <w:p w:rsidR="00842DC7" w:rsidRDefault="00B35AE5">
      <w:pPr>
        <w:pStyle w:val="PwCNormal"/>
      </w:pPr>
      <w:r>
        <w:t xml:space="preserve">The volume </w:t>
      </w:r>
      <w:r w:rsidR="00781444">
        <w:t xml:space="preserve">(in tonnes) </w:t>
      </w:r>
      <w:r>
        <w:t xml:space="preserve">of extractive resources </w:t>
      </w:r>
      <w:r w:rsidR="00781444">
        <w:t xml:space="preserve">flowing from each work authority to each demand location and the associated distances travelled were analysed. The data was then summarised into 6 distance bands up to a maximum threshold of 300kms and the unit transport costs were then applied. </w:t>
      </w:r>
    </w:p>
    <w:p w:rsidR="00B35AE5" w:rsidRDefault="00842DC7">
      <w:pPr>
        <w:pStyle w:val="PwCNormal"/>
      </w:pPr>
      <w:r>
        <w:t xml:space="preserve">The results of </w:t>
      </w:r>
      <w:r w:rsidR="009C7D8B">
        <w:t xml:space="preserve">the </w:t>
      </w:r>
      <w:r>
        <w:t xml:space="preserve">analysis </w:t>
      </w:r>
      <w:r w:rsidR="009C7D8B">
        <w:t xml:space="preserve">suggest </w:t>
      </w:r>
      <w:r>
        <w:t xml:space="preserve">that in order to meet the demand for extractive resources over the 2015 to 2050 analysis period, consumers will need to source some materials from further away as existing quarries </w:t>
      </w:r>
      <w:r w:rsidR="00077CA4">
        <w:t>and associated resource become exhausted</w:t>
      </w:r>
      <w:r>
        <w:t xml:space="preserve">. A methodology to estimate potential transport costs for extractive resources was developed to reflect these expectations. </w:t>
      </w:r>
      <w:r w:rsidR="00502274">
        <w:t xml:space="preserve">This methodology is summarised in </w:t>
      </w:r>
      <w:r>
        <w:fldChar w:fldCharType="begin"/>
      </w:r>
      <w:r>
        <w:instrText xml:space="preserve"> REF _Ref447698231 \h </w:instrText>
      </w:r>
      <w:r>
        <w:fldChar w:fldCharType="separate"/>
      </w:r>
      <w:r w:rsidR="00E22E13">
        <w:t xml:space="preserve">Figure </w:t>
      </w:r>
      <w:r w:rsidR="00E22E13">
        <w:rPr>
          <w:noProof/>
        </w:rPr>
        <w:t>43</w:t>
      </w:r>
      <w:r>
        <w:fldChar w:fldCharType="end"/>
      </w:r>
      <w:r w:rsidR="00502274">
        <w:t xml:space="preserve"> below. </w:t>
      </w:r>
    </w:p>
    <w:p w:rsidR="00842DC7" w:rsidRDefault="00842DC7">
      <w:pPr>
        <w:pStyle w:val="Caption"/>
      </w:pPr>
      <w:bookmarkStart w:id="256" w:name="_Ref447698231"/>
      <w:r>
        <w:t xml:space="preserve">Figure </w:t>
      </w:r>
      <w:fldSimple w:instr=" SEQ Figure \* ARABIC ">
        <w:r w:rsidR="00E22E13">
          <w:rPr>
            <w:noProof/>
          </w:rPr>
          <w:t>43</w:t>
        </w:r>
      </w:fldSimple>
      <w:bookmarkEnd w:id="256"/>
      <w:r>
        <w:t>: Method for estimating transport costs</w:t>
      </w:r>
    </w:p>
    <w:p w:rsidR="00502274" w:rsidRDefault="00842DC7" w:rsidP="006916CE">
      <w:pPr>
        <w:pStyle w:val="Sources"/>
      </w:pPr>
      <w:r>
        <w:rPr>
          <w:noProof/>
          <w:snapToGrid/>
          <w:lang w:eastAsia="en-AU"/>
        </w:rPr>
        <w:drawing>
          <wp:inline distT="0" distB="0" distL="0" distR="0" wp14:anchorId="714A717E" wp14:editId="4FF0DA98">
            <wp:extent cx="5220335" cy="569998"/>
            <wp:effectExtent l="0" t="0" r="0" b="1905"/>
            <wp:docPr id="310" name="Picture 310" descr="Figure 43 shows the method for estimating transport costs. It is: Portential supply shortfall (in tonnes) in the distance band, multiplied by average transport cost (in dollars) in the next distance band, plus production supplied (in tonnes) in the current distance band, multiplied by the average transport cost (in dollars) in the current distance band, equals the estimated transport cost (in dollars). "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20335" cy="569998"/>
                    </a:xfrm>
                    <a:prstGeom prst="rect">
                      <a:avLst/>
                    </a:prstGeom>
                  </pic:spPr>
                </pic:pic>
              </a:graphicData>
            </a:graphic>
          </wp:inline>
        </w:drawing>
      </w:r>
      <w:r>
        <w:t>Source: PwC</w:t>
      </w:r>
    </w:p>
    <w:p w:rsidR="00A021C2" w:rsidRDefault="00A021C2" w:rsidP="00417D11">
      <w:pPr>
        <w:pStyle w:val="PwCNormal"/>
      </w:pPr>
      <w:r>
        <w:t xml:space="preserve">Where demand is sourced from further afield in future, further infrastructure upgrades could be required to support delivery of this material. This could result in additional costs that are not identified here.  </w:t>
      </w:r>
    </w:p>
    <w:p w:rsidR="002A004C" w:rsidRPr="00D25A2B" w:rsidRDefault="002A004C">
      <w:pPr>
        <w:pStyle w:val="PwCNormal"/>
      </w:pPr>
      <w:r>
        <w:t xml:space="preserve">Estimates of transport cost increases prepared using the above methodology have been combined with industry rules-of-thumb for typical construction project extractives costs. This analysis provides for estimation of potential cost increases that could occur in future Victorian construction projects.  </w:t>
      </w:r>
    </w:p>
    <w:p w:rsidR="002A004C" w:rsidRDefault="002A004C">
      <w:pPr>
        <w:pStyle w:val="PwCNormal"/>
      </w:pPr>
      <w:r>
        <w:t xml:space="preserve">The estimates of transport costs presented below comprise costs faced by industry along with those borne by society in terms of social and environmental costs associated with the transport of quarry materials across Victorian roads. A further breakdown of these costs is provided in Section </w:t>
      </w:r>
      <w:r>
        <w:fldChar w:fldCharType="begin"/>
      </w:r>
      <w:r>
        <w:instrText xml:space="preserve"> REF _Ref448329290 \n \h </w:instrText>
      </w:r>
      <w:r>
        <w:fldChar w:fldCharType="separate"/>
      </w:r>
      <w:r w:rsidR="00E22E13">
        <w:t>7.3.4</w:t>
      </w:r>
      <w:r>
        <w:fldChar w:fldCharType="end"/>
      </w:r>
      <w:r>
        <w:t xml:space="preserve"> below.</w:t>
      </w:r>
    </w:p>
    <w:p w:rsidR="00502274" w:rsidRDefault="00502274" w:rsidP="006916CE">
      <w:pPr>
        <w:pStyle w:val="Heading6"/>
      </w:pPr>
      <w:r>
        <w:t>Results</w:t>
      </w:r>
    </w:p>
    <w:p w:rsidR="00D25A2B" w:rsidRDefault="00D25A2B" w:rsidP="009903E2">
      <w:pPr>
        <w:pStyle w:val="PwCNormal"/>
      </w:pPr>
      <w:r>
        <w:t xml:space="preserve">The results presented here represent conservative estimates of extractive resource input cost increases. This is examined solely through a transport cost lens and does not capture any potential additional flow-on market impacts that could result from these transport costs. Section </w:t>
      </w:r>
      <w:r>
        <w:fldChar w:fldCharType="begin"/>
      </w:r>
      <w:r>
        <w:instrText xml:space="preserve"> REF _Ref447699852 \r \h </w:instrText>
      </w:r>
      <w:r>
        <w:fldChar w:fldCharType="separate"/>
      </w:r>
      <w:r w:rsidR="00E22E13">
        <w:t>6.4.4</w:t>
      </w:r>
      <w:r>
        <w:fldChar w:fldCharType="end"/>
      </w:r>
      <w:r>
        <w:t xml:space="preserve"> provides some discussion of potential flow-on market dynamics and their potential impact in the context of this study. </w:t>
      </w:r>
    </w:p>
    <w:p w:rsidR="009903E2" w:rsidRDefault="009903E2" w:rsidP="009903E2">
      <w:pPr>
        <w:pStyle w:val="PwCNormal"/>
      </w:pPr>
      <w:r>
        <w:t>This is a conservative estimate of the overall impact.</w:t>
      </w:r>
      <w:r w:rsidRPr="00CA5582">
        <w:t xml:space="preserve"> </w:t>
      </w:r>
      <w:r w:rsidR="00502274">
        <w:t>S</w:t>
      </w:r>
      <w:r>
        <w:t>takeholder consultation</w:t>
      </w:r>
      <w:r w:rsidR="00502274">
        <w:t xml:space="preserve"> has revealed</w:t>
      </w:r>
      <w:r>
        <w:t xml:space="preserve"> that extractive resources represent on average 35</w:t>
      </w:r>
      <w:r w:rsidR="00351ED0">
        <w:t xml:space="preserve"> per cent</w:t>
      </w:r>
      <w:r>
        <w:t xml:space="preserve"> of total project costs </w:t>
      </w:r>
      <w:r w:rsidR="00B141F6">
        <w:t>for a typical residential or commercial construction project, when considering only the material costs.</w:t>
      </w:r>
      <w:r w:rsidR="00B141F6">
        <w:rPr>
          <w:rStyle w:val="FootnoteReference"/>
        </w:rPr>
        <w:footnoteReference w:id="27"/>
      </w:r>
      <w:r w:rsidR="00B141F6">
        <w:t xml:space="preserve">, </w:t>
      </w:r>
      <w:r w:rsidR="006A62B8">
        <w:t xml:space="preserve">As this is a relatively large proportion of overall project costs, </w:t>
      </w:r>
      <w:r w:rsidR="00B141F6">
        <w:t xml:space="preserve">market price implications </w:t>
      </w:r>
      <w:r w:rsidR="006A62B8">
        <w:t xml:space="preserve">flowing from potential supply constraints and increases in transport costs </w:t>
      </w:r>
      <w:r w:rsidR="00B141F6">
        <w:t>may also need to be considered.</w:t>
      </w:r>
      <w:r>
        <w:t xml:space="preserve"> If the industry experiences an average increase of 10</w:t>
      </w:r>
      <w:r w:rsidR="005B6F70">
        <w:t xml:space="preserve"> per cent</w:t>
      </w:r>
      <w:r>
        <w:t xml:space="preserve"> in the cost of extractive resources resulting from supply constraints, this could represent an average 3.5</w:t>
      </w:r>
      <w:r w:rsidR="005B6F70">
        <w:t xml:space="preserve"> per cent</w:t>
      </w:r>
      <w:r>
        <w:t xml:space="preserve"> increase of project costs across the State. </w:t>
      </w:r>
    </w:p>
    <w:p w:rsidR="00EA5223" w:rsidRDefault="002A004C" w:rsidP="002A004C">
      <w:pPr>
        <w:pStyle w:val="PwCNormal"/>
      </w:pPr>
      <w:r>
        <w:t>The analysis has estimated that an extra $2 billion of transport costs</w:t>
      </w:r>
      <w:r w:rsidR="00351ED0">
        <w:rPr>
          <w:rStyle w:val="FootnoteReference"/>
        </w:rPr>
        <w:footnoteReference w:id="28"/>
      </w:r>
      <w:r>
        <w:t xml:space="preserve"> would be incurred across 2015</w:t>
      </w:r>
      <w:r w:rsidR="00197B03">
        <w:t xml:space="preserve"> to 20</w:t>
      </w:r>
      <w:r>
        <w:t xml:space="preserve">50 for every additional 25 kilometre distance over which material is delivered. This figure represents the cost uplift </w:t>
      </w:r>
      <w:r w:rsidR="00A021C2">
        <w:t xml:space="preserve">of </w:t>
      </w:r>
      <w:r>
        <w:t xml:space="preserve">meeting the aggregate supply shortfalls across </w:t>
      </w:r>
      <w:r w:rsidR="00A021C2">
        <w:t xml:space="preserve">all locations from </w:t>
      </w:r>
      <w:r>
        <w:t>2015</w:t>
      </w:r>
      <w:r w:rsidR="00197B03">
        <w:t xml:space="preserve"> to 20</w:t>
      </w:r>
      <w:r>
        <w:t xml:space="preserve">50 </w:t>
      </w:r>
      <w:r w:rsidR="00A021C2">
        <w:t xml:space="preserve">by accessing material from </w:t>
      </w:r>
      <w:r>
        <w:t xml:space="preserve">quarries 25km further away than those currently used. </w:t>
      </w:r>
    </w:p>
    <w:p w:rsidR="002A004C" w:rsidRDefault="002A004C" w:rsidP="002A004C">
      <w:pPr>
        <w:pStyle w:val="PwCNormal"/>
      </w:pPr>
      <w:r>
        <w:t>If this cumulative shortfall amount was instead sourced from quarries 50km further away, this would result in $4 billion of additional transport costs instead</w:t>
      </w:r>
      <w:r w:rsidR="00077CA4">
        <w:t>.</w:t>
      </w:r>
    </w:p>
    <w:p w:rsidR="00107A19" w:rsidRDefault="0073466D" w:rsidP="0073466D">
      <w:pPr>
        <w:pStyle w:val="PwCNormal"/>
      </w:pPr>
      <w:r>
        <w:t xml:space="preserve">In addition to transport cost increases, the nearly doubling of demand for extractive resources, from 46.4 million tonnes in 2015 to 87.8 million tonnes in 2050, will lead to an increase in the need for </w:t>
      </w:r>
      <w:r w:rsidR="00041BFD">
        <w:t>transport infrastructure to transport resources</w:t>
      </w:r>
      <w:r>
        <w:t xml:space="preserve"> from quarries to the sources of demand. This may warrant examination of the need to support additional infrastructure to support this.</w:t>
      </w:r>
    </w:p>
    <w:p w:rsidR="0073466D" w:rsidRDefault="00107A19" w:rsidP="0073466D">
      <w:pPr>
        <w:pStyle w:val="PwCNormal"/>
      </w:pPr>
      <w:r>
        <w:t>Currently in Victoria, all extractive resources are being transported via the road network with the exception of one company</w:t>
      </w:r>
      <w:r w:rsidR="00720C08">
        <w:t xml:space="preserve"> which uses a combination of the rail network and truck transport</w:t>
      </w:r>
      <w:r>
        <w:t xml:space="preserve">. </w:t>
      </w:r>
      <w:r w:rsidR="004638AE">
        <w:t>I</w:t>
      </w:r>
      <w:r>
        <w:t xml:space="preserve">ndustry consultations </w:t>
      </w:r>
      <w:r w:rsidR="004638AE">
        <w:t xml:space="preserve">undertaken in support of the analysis </w:t>
      </w:r>
      <w:r>
        <w:t xml:space="preserve">have ascertained there is an established truck network </w:t>
      </w:r>
      <w:r w:rsidR="00720C08">
        <w:t xml:space="preserve">with some companies owning their own truck fleet for purposes of delivering resources from quarry site to demand point. </w:t>
      </w:r>
    </w:p>
    <w:p w:rsidR="000E5A81" w:rsidRDefault="000E5A81">
      <w:pPr>
        <w:pStyle w:val="Heading7"/>
        <w:sectPr w:rsidR="000E5A81" w:rsidSect="001A7D05">
          <w:pgSz w:w="11907" w:h="16840" w:code="9"/>
          <w:pgMar w:top="1588" w:right="1843" w:bottom="1418" w:left="1843" w:header="567" w:footer="567" w:gutter="0"/>
          <w:cols w:space="227"/>
          <w:titlePg/>
          <w:docGrid w:linePitch="360"/>
        </w:sectPr>
      </w:pPr>
    </w:p>
    <w:p w:rsidR="00CF4506" w:rsidRDefault="006964BC" w:rsidP="006916CE">
      <w:pPr>
        <w:pStyle w:val="Heading7"/>
      </w:pPr>
      <w:r>
        <w:t>Detailed results: 2015</w:t>
      </w:r>
    </w:p>
    <w:p w:rsidR="006A32E7" w:rsidRDefault="006A32E7" w:rsidP="006916CE">
      <w:pPr>
        <w:pStyle w:val="PwCNormal"/>
      </w:pPr>
      <w:r>
        <w:rPr>
          <w:b/>
          <w:bCs/>
        </w:rPr>
        <w:fldChar w:fldCharType="begin"/>
      </w:r>
      <w:r>
        <w:instrText xml:space="preserve"> REF _Ref448215981 \h </w:instrText>
      </w:r>
      <w:r>
        <w:rPr>
          <w:b/>
          <w:bCs/>
        </w:rPr>
      </w:r>
      <w:r>
        <w:rPr>
          <w:b/>
          <w:bCs/>
        </w:rPr>
        <w:fldChar w:fldCharType="separate"/>
      </w:r>
      <w:r w:rsidR="00E22E13">
        <w:t xml:space="preserve">Figure </w:t>
      </w:r>
      <w:r w:rsidR="00E22E13">
        <w:rPr>
          <w:noProof/>
        </w:rPr>
        <w:t>44</w:t>
      </w:r>
      <w:r>
        <w:rPr>
          <w:b/>
          <w:bCs/>
        </w:rPr>
        <w:fldChar w:fldCharType="end"/>
      </w:r>
      <w:r>
        <w:rPr>
          <w:b/>
          <w:bCs/>
        </w:rPr>
        <w:t xml:space="preserve"> </w:t>
      </w:r>
      <w:r w:rsidRPr="007972FB">
        <w:rPr>
          <w:bCs/>
        </w:rPr>
        <w:t>describes</w:t>
      </w:r>
      <w:r>
        <w:rPr>
          <w:bCs/>
        </w:rPr>
        <w:t xml:space="preserve"> the volumes of production and potential supply shortfalls across the six distance bands in 2015. For example, the figure shows that 12.7 million tonnes of material is estimated to be transported between zero and 50km, while the potential supply shortfall within this distance band is 0.4 million tonnes. </w:t>
      </w:r>
    </w:p>
    <w:p w:rsidR="00AB02EB" w:rsidRDefault="00F505E2">
      <w:pPr>
        <w:pStyle w:val="Caption"/>
      </w:pPr>
      <w:r w:rsidRPr="00F505E2">
        <w:rPr>
          <w:noProof/>
          <w:lang w:eastAsia="en-AU"/>
        </w:rPr>
        <mc:AlternateContent>
          <mc:Choice Requires="wps">
            <w:drawing>
              <wp:anchor distT="0" distB="0" distL="114300" distR="114300" simplePos="0" relativeHeight="251714560" behindDoc="0" locked="0" layoutInCell="1" allowOverlap="1" wp14:anchorId="60B80D27" wp14:editId="0FDD77C0">
                <wp:simplePos x="0" y="0"/>
                <wp:positionH relativeFrom="column">
                  <wp:posOffset>6690073</wp:posOffset>
                </wp:positionH>
                <wp:positionV relativeFrom="paragraph">
                  <wp:posOffset>32508</wp:posOffset>
                </wp:positionV>
                <wp:extent cx="1858010" cy="904240"/>
                <wp:effectExtent l="723900" t="0" r="27940" b="162560"/>
                <wp:wrapNone/>
                <wp:docPr id="24" name="Rounded Rectangular Callout 23"/>
                <wp:cNvGraphicFramePr/>
                <a:graphic xmlns:a="http://schemas.openxmlformats.org/drawingml/2006/main">
                  <a:graphicData uri="http://schemas.microsoft.com/office/word/2010/wordprocessingShape">
                    <wps:wsp>
                      <wps:cNvSpPr/>
                      <wps:spPr>
                        <a:xfrm>
                          <a:off x="0" y="0"/>
                          <a:ext cx="1858010" cy="904240"/>
                        </a:xfrm>
                        <a:prstGeom prst="wedgeRoundRectCallout">
                          <a:avLst>
                            <a:gd name="adj1" fmla="val -88121"/>
                            <a:gd name="adj2" fmla="val 66044"/>
                            <a:gd name="adj3" fmla="val 16667"/>
                          </a:avLst>
                        </a:prstGeom>
                        <a:ln w="12700"/>
                      </wps:spPr>
                      <wps:style>
                        <a:lnRef idx="2">
                          <a:schemeClr val="accent1"/>
                        </a:lnRef>
                        <a:fillRef idx="1">
                          <a:schemeClr val="lt1"/>
                        </a:fillRef>
                        <a:effectRef idx="0">
                          <a:schemeClr val="accent1"/>
                        </a:effectRef>
                        <a:fontRef idx="minor">
                          <a:schemeClr val="dk1"/>
                        </a:fontRef>
                      </wps:style>
                      <wps:txbx>
                        <w:txbxContent>
                          <w:p w:rsidR="00F752F4" w:rsidRDefault="00F752F4" w:rsidP="00F505E2">
                            <w:pPr>
                              <w:pStyle w:val="NormalWeb"/>
                              <w:spacing w:before="0" w:beforeAutospacing="0" w:after="0" w:afterAutospacing="0"/>
                              <w:jc w:val="center"/>
                              <w:textAlignment w:val="baseline"/>
                            </w:pPr>
                            <w:r>
                              <w:t>In 2015, the estimated average transport distance across all materials demanded is 112km.</w:t>
                            </w:r>
                          </w:p>
                        </w:txbxContent>
                      </wps:txbx>
                      <wps:bodyPr wrap="square" lIns="0" rIns="0" anchor="ctr">
                        <a:noAutofit/>
                      </wps:bodyPr>
                    </wps:wsp>
                  </a:graphicData>
                </a:graphic>
                <wp14:sizeRelH relativeFrom="margin">
                  <wp14:pctWidth>0</wp14:pctWidth>
                </wp14:sizeRelH>
                <wp14:sizeRelV relativeFrom="margin">
                  <wp14:pctHeight>0</wp14:pctHeight>
                </wp14:sizeRelV>
              </wp:anchor>
            </w:drawing>
          </mc:Choice>
          <mc:Fallback>
            <w:pict>
              <v:shapetype w14:anchorId="60B80D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9" type="#_x0000_t62" style="position:absolute;left:0;text-align:left;margin-left:526.8pt;margin-top:2.55pt;width:146.3pt;height:7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" adj="-8234,25066" fillcolor="white [3201]" strokecolor="#a32020 [3204]" strokeweight="1pt">
                <v:textbox inset="0,,0">
                  <w:txbxContent>
                    <w:p w:rsidR="00F752F4" w:rsidRDefault="00F752F4" w:rsidP="00F505E2">
                      <w:pPr>
                        <w:pStyle w:val="NormalWeb"/>
                        <w:spacing w:before="0" w:beforeAutospacing="0" w:after="0" w:afterAutospacing="0"/>
                        <w:jc w:val="center"/>
                        <w:textAlignment w:val="baseline"/>
                      </w:pPr>
                      <w:r>
                        <w:t>In 2015, the estimated average transport distance across all materials demanded is 112km.</w:t>
                      </w:r>
                    </w:p>
                  </w:txbxContent>
                </v:textbox>
              </v:shape>
            </w:pict>
          </mc:Fallback>
        </mc:AlternateContent>
      </w:r>
      <w:bookmarkStart w:id="257" w:name="_Ref448215981"/>
      <w:r w:rsidR="00AB02EB">
        <w:t xml:space="preserve">Figure </w:t>
      </w:r>
      <w:fldSimple w:instr=" SEQ Figure \* ARABIC ">
        <w:r w:rsidR="00E22E13">
          <w:rPr>
            <w:noProof/>
          </w:rPr>
          <w:t>44</w:t>
        </w:r>
      </w:fldSimple>
      <w:bookmarkEnd w:id="257"/>
      <w:r w:rsidR="00AB02EB">
        <w:t xml:space="preserve">: </w:t>
      </w:r>
      <w:r w:rsidR="00AB02EB" w:rsidRPr="00935B38">
        <w:t>Transport cost reckoner, 2015</w:t>
      </w:r>
      <w:r w:rsidR="00722BAF">
        <w:t>, base case scenario.</w:t>
      </w:r>
    </w:p>
    <w:p w:rsidR="00781669" w:rsidRDefault="00AB02EB" w:rsidP="006916CE">
      <w:pPr>
        <w:pStyle w:val="Sources"/>
      </w:pPr>
      <w:r>
        <w:rPr>
          <w:noProof/>
          <w:snapToGrid/>
          <w:lang w:eastAsia="en-AU"/>
        </w:rPr>
        <w:drawing>
          <wp:inline distT="0" distB="0" distL="0" distR="0" wp14:anchorId="3E47A76A" wp14:editId="5DEE5CDB">
            <wp:extent cx="7988400" cy="3564055"/>
            <wp:effectExtent l="0" t="0" r="0" b="0"/>
            <wp:docPr id="15416" name="Picture 15416" descr="Figure 44 is a transport cost reckoner for 2015 using the base case scenario.  It shows that overall, in 2015, the estimated average transport distance across all materials demanded is 112km. "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988400" cy="3564055"/>
                    </a:xfrm>
                    <a:prstGeom prst="rect">
                      <a:avLst/>
                    </a:prstGeom>
                  </pic:spPr>
                </pic:pic>
              </a:graphicData>
            </a:graphic>
          </wp:inline>
        </w:drawing>
      </w:r>
      <w:r w:rsidR="000E5A81">
        <w:rPr>
          <w:noProof/>
          <w:snapToGrid/>
          <w:lang w:eastAsia="en-AU"/>
        </w:rPr>
        <w:br/>
      </w:r>
      <w:r>
        <w:rPr>
          <w:noProof/>
          <w:snapToGrid/>
          <w:lang w:eastAsia="en-AU"/>
        </w:rPr>
        <w:t>Source: PwC analysis</w:t>
      </w:r>
    </w:p>
    <w:p w:rsidR="00013FD0" w:rsidRDefault="006A32E7" w:rsidP="006916CE">
      <w:pPr>
        <w:pStyle w:val="PwCNormal"/>
      </w:pPr>
      <w:r>
        <w:fldChar w:fldCharType="begin"/>
      </w:r>
      <w:r>
        <w:instrText xml:space="preserve"> REF _Ref448216216 \h </w:instrText>
      </w:r>
      <w:r>
        <w:fldChar w:fldCharType="separate"/>
      </w:r>
      <w:r w:rsidR="00E22E13">
        <w:t xml:space="preserve">Table </w:t>
      </w:r>
      <w:r w:rsidR="00E22E13">
        <w:rPr>
          <w:noProof/>
        </w:rPr>
        <w:t>24</w:t>
      </w:r>
      <w:r>
        <w:fldChar w:fldCharType="end"/>
      </w:r>
      <w:r>
        <w:t xml:space="preserve"> provides detailed results of the transport cost estimation for 2015. The table details the level of production supplied by distance band in tonnes and the estimated cost associated with this production level. These results are summed across the distance bands to provide a total cost estimate for production supplied in 2015 of approximately $600 million.</w:t>
      </w:r>
    </w:p>
    <w:p w:rsidR="006A32E7" w:rsidRDefault="006A32E7" w:rsidP="006916CE">
      <w:pPr>
        <w:pStyle w:val="PwCNormal"/>
      </w:pPr>
      <w:r>
        <w:fldChar w:fldCharType="begin"/>
      </w:r>
      <w:r>
        <w:instrText xml:space="preserve"> REF _Ref448216216 \h </w:instrText>
      </w:r>
      <w:r>
        <w:fldChar w:fldCharType="separate"/>
      </w:r>
      <w:r w:rsidR="00E22E13">
        <w:t xml:space="preserve">Table </w:t>
      </w:r>
      <w:r w:rsidR="00E22E13">
        <w:rPr>
          <w:noProof/>
        </w:rPr>
        <w:t>24</w:t>
      </w:r>
      <w:r>
        <w:fldChar w:fldCharType="end"/>
      </w:r>
      <w:r>
        <w:t xml:space="preserve"> also details the average distance travelled for production supplied within each distance band; in the 50-100km distance band this distance is 72.9km, for example. The average cost per tonne/kilometre is also presented, illustrating the average cost associated with delivering a tonne of material across each distance band. </w:t>
      </w:r>
    </w:p>
    <w:p w:rsidR="00B2204F" w:rsidRPr="00B2204F" w:rsidRDefault="006A32E7" w:rsidP="006916CE">
      <w:pPr>
        <w:pStyle w:val="PwCNormal"/>
      </w:pPr>
      <w:r>
        <w:t xml:space="preserve">The total transport cost within each distance band is estimated as the sum of the transport costs associated with production supplied and that of delivering the potential supply shortfall from the next distance band. </w:t>
      </w:r>
      <w:r w:rsidR="006964BC">
        <w:t>The cost uplift amount captures the increase in transport cost that emerges due to potential shortfalls being satisfied by quarries in the next distance band, and the proportional cost uplift of delivering the shortfall represents the percentage increase in transport costs that results from this.</w:t>
      </w:r>
    </w:p>
    <w:p w:rsidR="00AB02EB" w:rsidRDefault="00AB02EB" w:rsidP="006916CE">
      <w:pPr>
        <w:pStyle w:val="Minorheading2"/>
      </w:pPr>
      <w:bookmarkStart w:id="258" w:name="_Ref448216216"/>
      <w:r>
        <w:t xml:space="preserve">Table </w:t>
      </w:r>
      <w:fldSimple w:instr=" SEQ Table \* ARABIC ">
        <w:r w:rsidR="00E22E13">
          <w:rPr>
            <w:noProof/>
          </w:rPr>
          <w:t>24</w:t>
        </w:r>
      </w:fldSimple>
      <w:bookmarkEnd w:id="258"/>
      <w:r>
        <w:t xml:space="preserve">: </w:t>
      </w:r>
      <w:r w:rsidRPr="00AC0AC4">
        <w:t>Transport cost reckoner, 2015</w:t>
      </w:r>
      <w:r w:rsidR="00722BAF">
        <w:t>, base case scenario.</w:t>
      </w:r>
    </w:p>
    <w:p w:rsidR="00781669" w:rsidRDefault="00762259" w:rsidP="006916CE">
      <w:pPr>
        <w:pStyle w:val="Sources"/>
      </w:pPr>
      <w:r>
        <w:rPr>
          <w:noProof/>
          <w:snapToGrid/>
          <w:lang w:eastAsia="en-AU"/>
        </w:rPr>
        <w:drawing>
          <wp:inline distT="0" distB="0" distL="0" distR="0" wp14:anchorId="1C6D251D" wp14:editId="22357E10">
            <wp:extent cx="8673483" cy="2136864"/>
            <wp:effectExtent l="0" t="0" r="0" b="0"/>
            <wp:docPr id="17415" name="Picture 17415" descr="Table 24 is a transport cost reckoner for 2015 using the base case scenario. It shows that the total transport cost for distance band 0-50km is $60.585,582. For 50-100km it is $134,705,367. For 100-150km it is $106,013,641. For 150-200km it is $90,598,477. For 200-250km it is $94,768,255. For 250-300km it is $142,265,944. The total transport cost across all distance bands is $628,937,367." title="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670487" cy="2136126"/>
                    </a:xfrm>
                    <a:prstGeom prst="rect">
                      <a:avLst/>
                    </a:prstGeom>
                  </pic:spPr>
                </pic:pic>
              </a:graphicData>
            </a:graphic>
          </wp:inline>
        </w:drawing>
      </w:r>
      <w:r w:rsidR="000E5A81">
        <w:br/>
      </w:r>
      <w:r w:rsidR="00AB02EB">
        <w:t>Source: PwC analysis</w:t>
      </w:r>
    </w:p>
    <w:p w:rsidR="00351ED0" w:rsidRDefault="00351ED0">
      <w:pPr>
        <w:kinsoku/>
        <w:overflowPunct/>
        <w:autoSpaceDE/>
        <w:autoSpaceDN/>
        <w:adjustRightInd/>
        <w:snapToGrid/>
        <w:rPr>
          <w:rFonts w:asciiTheme="majorHAnsi" w:hAnsiTheme="majorHAnsi"/>
          <w:i/>
          <w:iCs/>
          <w:color w:val="A32020" w:themeColor="text2"/>
          <w:sz w:val="28"/>
          <w:szCs w:val="28"/>
        </w:rPr>
      </w:pPr>
      <w:r>
        <w:br w:type="page"/>
      </w:r>
    </w:p>
    <w:p w:rsidR="006964BC" w:rsidRDefault="006964BC" w:rsidP="006916CE">
      <w:pPr>
        <w:pStyle w:val="Heading7"/>
      </w:pPr>
      <w:r>
        <w:t>Detailed results: 2025</w:t>
      </w:r>
    </w:p>
    <w:p w:rsidR="00B91AFE" w:rsidRDefault="00B91AFE">
      <w:pPr>
        <w:pStyle w:val="PwCNormal"/>
      </w:pPr>
      <w:r>
        <w:t xml:space="preserve">Key insights into the transport cost reckoner can be drawn from comparing the changes in distance bands across </w:t>
      </w:r>
      <w:r w:rsidR="000A711F">
        <w:t>the milestone years presented</w:t>
      </w:r>
      <w:r>
        <w:t xml:space="preserve">. </w:t>
      </w:r>
    </w:p>
    <w:p w:rsidR="00781669" w:rsidRDefault="00F77603" w:rsidP="007972FB">
      <w:pPr>
        <w:pStyle w:val="PwCNormal"/>
      </w:pPr>
      <w:r>
        <w:fldChar w:fldCharType="begin"/>
      </w:r>
      <w:r>
        <w:instrText xml:space="preserve"> REF _Ref448159447 \h </w:instrText>
      </w:r>
      <w:r>
        <w:fldChar w:fldCharType="separate"/>
      </w:r>
      <w:r w:rsidR="00E22E13">
        <w:t xml:space="preserve">Figure </w:t>
      </w:r>
      <w:r w:rsidR="00E22E13">
        <w:rPr>
          <w:noProof/>
        </w:rPr>
        <w:t>45</w:t>
      </w:r>
      <w:r>
        <w:fldChar w:fldCharType="end"/>
      </w:r>
      <w:r w:rsidR="00B91AFE">
        <w:t xml:space="preserve"> </w:t>
      </w:r>
      <w:r w:rsidR="006964BC" w:rsidRPr="00626E5F">
        <w:rPr>
          <w:bCs/>
        </w:rPr>
        <w:t>describes</w:t>
      </w:r>
      <w:r w:rsidR="006964BC">
        <w:rPr>
          <w:bCs/>
        </w:rPr>
        <w:t xml:space="preserve"> the volum</w:t>
      </w:r>
      <w:r w:rsidR="006964BC" w:rsidRPr="007972FB">
        <w:rPr>
          <w:bCs/>
        </w:rPr>
        <w:t>es of production and potential supply shortfalls across the six distance bands in 2025</w:t>
      </w:r>
      <w:r w:rsidR="007C099C" w:rsidRPr="006964BC">
        <w:t xml:space="preserve">. </w:t>
      </w:r>
      <w:r w:rsidR="006964BC" w:rsidRPr="006964BC">
        <w:t xml:space="preserve">Comparing these results against </w:t>
      </w:r>
      <w:r w:rsidR="006964BC" w:rsidRPr="006916CE">
        <w:rPr>
          <w:bCs/>
        </w:rPr>
        <w:fldChar w:fldCharType="begin"/>
      </w:r>
      <w:r w:rsidR="006964BC" w:rsidRPr="006964BC">
        <w:instrText xml:space="preserve"> REF _Ref448215981 \h </w:instrText>
      </w:r>
      <w:r w:rsidR="006964BC" w:rsidRPr="006916CE">
        <w:rPr>
          <w:bCs/>
        </w:rPr>
        <w:instrText xml:space="preserve"> \* MERGEFORMAT </w:instrText>
      </w:r>
      <w:r w:rsidR="006964BC" w:rsidRPr="006916CE">
        <w:rPr>
          <w:bCs/>
        </w:rPr>
      </w:r>
      <w:r w:rsidR="006964BC" w:rsidRPr="006916CE">
        <w:rPr>
          <w:bCs/>
        </w:rPr>
        <w:fldChar w:fldCharType="separate"/>
      </w:r>
      <w:r w:rsidR="00E22E13">
        <w:t xml:space="preserve">Figure </w:t>
      </w:r>
      <w:r w:rsidR="00E22E13">
        <w:rPr>
          <w:noProof/>
        </w:rPr>
        <w:t>44</w:t>
      </w:r>
      <w:r w:rsidR="006964BC" w:rsidRPr="006916CE">
        <w:rPr>
          <w:bCs/>
        </w:rPr>
        <w:fldChar w:fldCharType="end"/>
      </w:r>
      <w:r w:rsidR="006964BC" w:rsidRPr="006916CE">
        <w:rPr>
          <w:bCs/>
        </w:rPr>
        <w:t xml:space="preserve"> demonstrates how the potential supply shortfalls are expected to grow through time due to exhaustion of current and planned future licensed reserves. </w:t>
      </w:r>
    </w:p>
    <w:p w:rsidR="00F77603" w:rsidRDefault="00F505E2" w:rsidP="006916CE">
      <w:pPr>
        <w:pStyle w:val="Minorheading2"/>
      </w:pPr>
      <w:r w:rsidRPr="00F505E2">
        <w:rPr>
          <w:noProof/>
          <w:lang w:eastAsia="en-AU"/>
        </w:rPr>
        <mc:AlternateContent>
          <mc:Choice Requires="wps">
            <w:drawing>
              <wp:anchor distT="0" distB="0" distL="114300" distR="114300" simplePos="0" relativeHeight="251716608" behindDoc="0" locked="0" layoutInCell="1" allowOverlap="1" wp14:anchorId="7931EBF3" wp14:editId="0B35B5B4">
                <wp:simplePos x="0" y="0"/>
                <wp:positionH relativeFrom="column">
                  <wp:posOffset>6847205</wp:posOffset>
                </wp:positionH>
                <wp:positionV relativeFrom="paragraph">
                  <wp:posOffset>27305</wp:posOffset>
                </wp:positionV>
                <wp:extent cx="1858010" cy="904240"/>
                <wp:effectExtent l="723900" t="0" r="27940" b="181610"/>
                <wp:wrapNone/>
                <wp:docPr id="683" name="Rounded Rectangular Callout 23"/>
                <wp:cNvGraphicFramePr/>
                <a:graphic xmlns:a="http://schemas.openxmlformats.org/drawingml/2006/main">
                  <a:graphicData uri="http://schemas.microsoft.com/office/word/2010/wordprocessingShape">
                    <wps:wsp>
                      <wps:cNvSpPr/>
                      <wps:spPr>
                        <a:xfrm>
                          <a:off x="0" y="0"/>
                          <a:ext cx="1858010" cy="904240"/>
                        </a:xfrm>
                        <a:prstGeom prst="wedgeRoundRectCallout">
                          <a:avLst>
                            <a:gd name="adj1" fmla="val -88121"/>
                            <a:gd name="adj2" fmla="val 67132"/>
                            <a:gd name="adj3" fmla="val 16667"/>
                          </a:avLst>
                        </a:prstGeom>
                        <a:ln w="12700"/>
                      </wps:spPr>
                      <wps:style>
                        <a:lnRef idx="2">
                          <a:schemeClr val="accent1"/>
                        </a:lnRef>
                        <a:fillRef idx="1">
                          <a:schemeClr val="lt1"/>
                        </a:fillRef>
                        <a:effectRef idx="0">
                          <a:schemeClr val="accent1"/>
                        </a:effectRef>
                        <a:fontRef idx="minor">
                          <a:schemeClr val="dk1"/>
                        </a:fontRef>
                      </wps:style>
                      <wps:txbx>
                        <w:txbxContent>
                          <w:p w:rsidR="00F752F4" w:rsidRDefault="00F752F4" w:rsidP="00F505E2">
                            <w:pPr>
                              <w:pStyle w:val="NormalWeb"/>
                              <w:spacing w:before="0" w:beforeAutospacing="0" w:after="0" w:afterAutospacing="0"/>
                              <w:jc w:val="center"/>
                              <w:textAlignment w:val="baseline"/>
                            </w:pPr>
                            <w:r>
                              <w:t>In 2025, the estimated average transport distance across all materials demanded is 123km.</w:t>
                            </w:r>
                          </w:p>
                        </w:txbxContent>
                      </wps:txbx>
                      <wps:bodyPr wrap="square" lIns="0" rIns="0" anchor="ctr">
                        <a:noAutofit/>
                      </wps:bodyPr>
                    </wps:wsp>
                  </a:graphicData>
                </a:graphic>
                <wp14:sizeRelH relativeFrom="margin">
                  <wp14:pctWidth>0</wp14:pctWidth>
                </wp14:sizeRelH>
                <wp14:sizeRelV relativeFrom="margin">
                  <wp14:pctHeight>0</wp14:pctHeight>
                </wp14:sizeRelV>
              </wp:anchor>
            </w:drawing>
          </mc:Choice>
          <mc:Fallback>
            <w:pict>
              <v:shape w14:anchorId="7931EBF3" id="_x0000_s1030" type="#_x0000_t62" style="position:absolute;margin-left:539.15pt;margin-top:2.15pt;width:146.3pt;height:7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" adj="-8234,25301" fillcolor="white [3201]" strokecolor="#a32020 [3204]" strokeweight="1pt">
                <v:textbox inset="0,,0">
                  <w:txbxContent>
                    <w:p w:rsidR="00F752F4" w:rsidRDefault="00F752F4" w:rsidP="00F505E2">
                      <w:pPr>
                        <w:pStyle w:val="NormalWeb"/>
                        <w:spacing w:before="0" w:beforeAutospacing="0" w:after="0" w:afterAutospacing="0"/>
                        <w:jc w:val="center"/>
                        <w:textAlignment w:val="baseline"/>
                      </w:pPr>
                      <w:r>
                        <w:t>In 2025, the estimated average transport distance across all materials demanded is 123km.</w:t>
                      </w:r>
                    </w:p>
                  </w:txbxContent>
                </v:textbox>
              </v:shape>
            </w:pict>
          </mc:Fallback>
        </mc:AlternateContent>
      </w:r>
      <w:bookmarkStart w:id="259" w:name="_Ref448159447"/>
      <w:r w:rsidR="00F77603">
        <w:t xml:space="preserve">Figure </w:t>
      </w:r>
      <w:fldSimple w:instr=" SEQ Figure \* ARABIC ">
        <w:r w:rsidR="00E22E13">
          <w:rPr>
            <w:noProof/>
          </w:rPr>
          <w:t>45</w:t>
        </w:r>
      </w:fldSimple>
      <w:bookmarkEnd w:id="259"/>
      <w:r w:rsidR="00F77603">
        <w:t xml:space="preserve">: </w:t>
      </w:r>
      <w:r w:rsidR="00F77603" w:rsidRPr="004D694F">
        <w:t>Transport cost reckoner, 2025</w:t>
      </w:r>
      <w:r w:rsidR="00722BAF">
        <w:t>, base case scenario.</w:t>
      </w:r>
    </w:p>
    <w:p w:rsidR="00A9145C" w:rsidRDefault="00AB02EB" w:rsidP="006916CE">
      <w:pPr>
        <w:pStyle w:val="Sources"/>
        <w:keepNext/>
      </w:pPr>
      <w:r>
        <w:rPr>
          <w:noProof/>
          <w:snapToGrid/>
          <w:lang w:eastAsia="en-AU"/>
        </w:rPr>
        <w:drawing>
          <wp:inline distT="0" distB="0" distL="0" distR="0" wp14:anchorId="26886793" wp14:editId="59FA3A2F">
            <wp:extent cx="7988400" cy="3539303"/>
            <wp:effectExtent l="0" t="0" r="0" b="4445"/>
            <wp:docPr id="15422" name="Picture 15422" descr="Figure 45 is a transport cost reckoner for 2025 using the base case scenario.  It shows that overall, in 2025, the estimated average transport distance across all materials demanded is 123km. " title="Figure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988400" cy="3539303"/>
                    </a:xfrm>
                    <a:prstGeom prst="rect">
                      <a:avLst/>
                    </a:prstGeom>
                  </pic:spPr>
                </pic:pic>
              </a:graphicData>
            </a:graphic>
          </wp:inline>
        </w:drawing>
      </w:r>
      <w:r w:rsidR="000E5A81">
        <w:rPr>
          <w:noProof/>
          <w:snapToGrid/>
          <w:lang w:eastAsia="en-AU"/>
        </w:rPr>
        <w:br/>
      </w:r>
      <w:r>
        <w:rPr>
          <w:noProof/>
          <w:snapToGrid/>
          <w:lang w:eastAsia="en-AU"/>
        </w:rPr>
        <w:t>Source: PwC analysis</w:t>
      </w:r>
    </w:p>
    <w:p w:rsidR="00A9145C" w:rsidRDefault="00351ED0">
      <w:pPr>
        <w:pStyle w:val="PwCNormal"/>
      </w:pPr>
      <w:r>
        <w:fldChar w:fldCharType="begin"/>
      </w:r>
      <w:r>
        <w:instrText xml:space="preserve"> REF _Ref448411632 \h </w:instrText>
      </w:r>
      <w:r>
        <w:fldChar w:fldCharType="separate"/>
      </w:r>
      <w:r w:rsidR="00E22E13">
        <w:t xml:space="preserve">Table </w:t>
      </w:r>
      <w:r w:rsidR="00E22E13">
        <w:rPr>
          <w:noProof/>
        </w:rPr>
        <w:t>25</w:t>
      </w:r>
      <w:r>
        <w:fldChar w:fldCharType="end"/>
      </w:r>
      <w:r w:rsidR="00EF3864">
        <w:t xml:space="preserve"> </w:t>
      </w:r>
      <w:r w:rsidR="000A711F">
        <w:t xml:space="preserve">details the transport cost estimates for the </w:t>
      </w:r>
      <w:r w:rsidR="00EF3864">
        <w:t>2025</w:t>
      </w:r>
      <w:r w:rsidR="000A711F">
        <w:t xml:space="preserve"> year</w:t>
      </w:r>
      <w:r w:rsidR="00EF3864">
        <w:t xml:space="preserve">. </w:t>
      </w:r>
    </w:p>
    <w:p w:rsidR="00AB02EB" w:rsidRDefault="00AB02EB">
      <w:pPr>
        <w:pStyle w:val="Caption"/>
      </w:pPr>
      <w:bookmarkStart w:id="260" w:name="_Ref448411632"/>
      <w:r>
        <w:t xml:space="preserve">Table </w:t>
      </w:r>
      <w:fldSimple w:instr=" SEQ Table \* ARABIC ">
        <w:r w:rsidR="00E22E13">
          <w:rPr>
            <w:noProof/>
          </w:rPr>
          <w:t>25</w:t>
        </w:r>
      </w:fldSimple>
      <w:bookmarkEnd w:id="260"/>
      <w:r>
        <w:t xml:space="preserve">: </w:t>
      </w:r>
      <w:r w:rsidRPr="007C6B83">
        <w:t>Transport cost reckoner</w:t>
      </w:r>
      <w:r w:rsidR="00F77603">
        <w:t>,</w:t>
      </w:r>
      <w:r w:rsidRPr="007C6B83">
        <w:t xml:space="preserve"> 2025</w:t>
      </w:r>
      <w:r w:rsidR="00722BAF">
        <w:t>, base case scenario.</w:t>
      </w:r>
    </w:p>
    <w:p w:rsidR="00781669" w:rsidRDefault="002D55F6" w:rsidP="006916CE">
      <w:pPr>
        <w:pStyle w:val="Sources"/>
      </w:pPr>
      <w:r>
        <w:rPr>
          <w:noProof/>
          <w:snapToGrid/>
          <w:lang w:eastAsia="en-AU"/>
        </w:rPr>
        <w:drawing>
          <wp:inline distT="0" distB="0" distL="0" distR="0" wp14:anchorId="6F96F75C" wp14:editId="0D9C7FE8">
            <wp:extent cx="8664605" cy="2130974"/>
            <wp:effectExtent l="0" t="0" r="3175" b="3175"/>
            <wp:docPr id="17416" name="Picture 17416" descr="Table 25 is a transport cost reckoner for 2025 using the base case scenario. It shows that the total transport cost across all distance bands in 2025 is estimated to be $989,056,722, which is a proportional cost uplift of 5.1% for delivering the shortfall. " title="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699313" cy="2139510"/>
                    </a:xfrm>
                    <a:prstGeom prst="rect">
                      <a:avLst/>
                    </a:prstGeom>
                  </pic:spPr>
                </pic:pic>
              </a:graphicData>
            </a:graphic>
          </wp:inline>
        </w:drawing>
      </w:r>
      <w:r w:rsidR="00AB02EB">
        <w:rPr>
          <w:noProof/>
          <w:snapToGrid/>
          <w:lang w:eastAsia="en-AU"/>
        </w:rPr>
        <w:t>Source: PwC analysis</w:t>
      </w:r>
    </w:p>
    <w:p w:rsidR="000A711F" w:rsidRDefault="000A711F">
      <w:pPr>
        <w:pStyle w:val="PwCNormal"/>
      </w:pPr>
      <w:r>
        <w:t xml:space="preserve">The estimates presented in </w:t>
      </w:r>
      <w:r w:rsidR="00351ED0">
        <w:fldChar w:fldCharType="begin"/>
      </w:r>
      <w:r w:rsidR="00351ED0">
        <w:instrText xml:space="preserve"> REF _Ref448411632 \h </w:instrText>
      </w:r>
      <w:r w:rsidR="00351ED0">
        <w:fldChar w:fldCharType="separate"/>
      </w:r>
      <w:r w:rsidR="00E22E13">
        <w:t xml:space="preserve">Table </w:t>
      </w:r>
      <w:r w:rsidR="00E22E13">
        <w:rPr>
          <w:noProof/>
        </w:rPr>
        <w:t>25</w:t>
      </w:r>
      <w:r w:rsidR="00351ED0">
        <w:fldChar w:fldCharType="end"/>
      </w:r>
      <w:r w:rsidR="00351ED0">
        <w:t xml:space="preserve"> </w:t>
      </w:r>
      <w:r>
        <w:t xml:space="preserve">suggest that transport cost increases can be expected across all distance bands relative to 2015, due in part to increases in potential supply shortfalls across the period and associated growth in the estimated cost uplift of meeting that demand. For example, the potential supply shortfall in the 0-50km distance band in 2025 is </w:t>
      </w:r>
      <w:r w:rsidR="002C4B39">
        <w:t xml:space="preserve">2.3 million tonnes compared to 0.4 million tonnes in 2015. The cost of delivering this shortfall volume from the next distance band in 2025 is $26.4 million, while in 2015 this amount was $4.4 million. </w:t>
      </w:r>
    </w:p>
    <w:p w:rsidR="00C23858" w:rsidRDefault="00C23858">
      <w:pPr>
        <w:pStyle w:val="PwCNormal"/>
      </w:pPr>
      <w:r>
        <w:t>Total transport costs in 2025 are estimated to be close to $1 billion, up from $629 million in 2015.</w:t>
      </w:r>
    </w:p>
    <w:p w:rsidR="00351ED0" w:rsidRDefault="00351ED0">
      <w:pPr>
        <w:kinsoku/>
        <w:overflowPunct/>
        <w:autoSpaceDE/>
        <w:autoSpaceDN/>
        <w:adjustRightInd/>
        <w:snapToGrid/>
        <w:rPr>
          <w:rFonts w:asciiTheme="majorHAnsi" w:hAnsiTheme="majorHAnsi"/>
          <w:i/>
          <w:iCs/>
          <w:color w:val="A32020" w:themeColor="text2"/>
          <w:sz w:val="28"/>
          <w:szCs w:val="28"/>
        </w:rPr>
      </w:pPr>
      <w:r>
        <w:br w:type="page"/>
      </w:r>
    </w:p>
    <w:p w:rsidR="000A711F" w:rsidRDefault="000A711F" w:rsidP="006916CE">
      <w:pPr>
        <w:pStyle w:val="Heading7"/>
      </w:pPr>
      <w:r>
        <w:t>Detailed results: 2050</w:t>
      </w:r>
    </w:p>
    <w:p w:rsidR="00EA3B27" w:rsidRDefault="00F505E2">
      <w:pPr>
        <w:pStyle w:val="PwCNormal"/>
      </w:pPr>
      <w:r w:rsidRPr="00F505E2">
        <w:rPr>
          <w:noProof/>
          <w:lang w:eastAsia="en-AU"/>
        </w:rPr>
        <mc:AlternateContent>
          <mc:Choice Requires="wps">
            <w:drawing>
              <wp:anchor distT="0" distB="0" distL="114300" distR="114300" simplePos="0" relativeHeight="251718656" behindDoc="0" locked="0" layoutInCell="1" allowOverlap="1" wp14:anchorId="47E3A7F2" wp14:editId="03AEBF64">
                <wp:simplePos x="0" y="0"/>
                <wp:positionH relativeFrom="column">
                  <wp:posOffset>7152189</wp:posOffset>
                </wp:positionH>
                <wp:positionV relativeFrom="paragraph">
                  <wp:posOffset>362339</wp:posOffset>
                </wp:positionV>
                <wp:extent cx="1858010" cy="904240"/>
                <wp:effectExtent l="742950" t="0" r="27940" b="162560"/>
                <wp:wrapNone/>
                <wp:docPr id="684" name="Rounded Rectangular Callout 23"/>
                <wp:cNvGraphicFramePr/>
                <a:graphic xmlns:a="http://schemas.openxmlformats.org/drawingml/2006/main">
                  <a:graphicData uri="http://schemas.microsoft.com/office/word/2010/wordprocessingShape">
                    <wps:wsp>
                      <wps:cNvSpPr/>
                      <wps:spPr>
                        <a:xfrm>
                          <a:off x="0" y="0"/>
                          <a:ext cx="1858010" cy="904240"/>
                        </a:xfrm>
                        <a:prstGeom prst="wedgeRoundRectCallout">
                          <a:avLst>
                            <a:gd name="adj1" fmla="val -89180"/>
                            <a:gd name="adj2" fmla="val 64957"/>
                            <a:gd name="adj3" fmla="val 16667"/>
                          </a:avLst>
                        </a:prstGeom>
                        <a:ln w="12700"/>
                      </wps:spPr>
                      <wps:style>
                        <a:lnRef idx="2">
                          <a:schemeClr val="accent1"/>
                        </a:lnRef>
                        <a:fillRef idx="1">
                          <a:schemeClr val="lt1"/>
                        </a:fillRef>
                        <a:effectRef idx="0">
                          <a:schemeClr val="accent1"/>
                        </a:effectRef>
                        <a:fontRef idx="minor">
                          <a:schemeClr val="dk1"/>
                        </a:fontRef>
                      </wps:style>
                      <wps:txbx>
                        <w:txbxContent>
                          <w:p w:rsidR="00F752F4" w:rsidRDefault="00F752F4" w:rsidP="00F505E2">
                            <w:pPr>
                              <w:pStyle w:val="NormalWeb"/>
                              <w:spacing w:before="0" w:beforeAutospacing="0" w:after="0" w:afterAutospacing="0"/>
                              <w:jc w:val="center"/>
                              <w:textAlignment w:val="baseline"/>
                            </w:pPr>
                            <w:r>
                              <w:t>In 2050, the estimated average transport distance across all materials demanded is 128km.</w:t>
                            </w:r>
                          </w:p>
                        </w:txbxContent>
                      </wps:txbx>
                      <wps:bodyPr wrap="square" lIns="0" rIns="0" anchor="ctr">
                        <a:noAutofit/>
                      </wps:bodyPr>
                    </wps:wsp>
                  </a:graphicData>
                </a:graphic>
                <wp14:sizeRelH relativeFrom="margin">
                  <wp14:pctWidth>0</wp14:pctWidth>
                </wp14:sizeRelH>
                <wp14:sizeRelV relativeFrom="margin">
                  <wp14:pctHeight>0</wp14:pctHeight>
                </wp14:sizeRelV>
              </wp:anchor>
            </w:drawing>
          </mc:Choice>
          <mc:Fallback>
            <w:pict>
              <v:shape w14:anchorId="47E3A7F2" id="_x0000_s1031" type="#_x0000_t62" style="position:absolute;margin-left:563.15pt;margin-top:28.55pt;width:146.3pt;height:7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" adj="-8463,24831" fillcolor="white [3201]" strokecolor="#a32020 [3204]" strokeweight="1pt">
                <v:textbox inset="0,,0">
                  <w:txbxContent>
                    <w:p w:rsidR="00F752F4" w:rsidRDefault="00F752F4" w:rsidP="00F505E2">
                      <w:pPr>
                        <w:pStyle w:val="NormalWeb"/>
                        <w:spacing w:before="0" w:beforeAutospacing="0" w:after="0" w:afterAutospacing="0"/>
                        <w:jc w:val="center"/>
                        <w:textAlignment w:val="baseline"/>
                      </w:pPr>
                      <w:r>
                        <w:t>In 2050, the estimated average transport distance across all materials demanded is 128km.</w:t>
                      </w:r>
                    </w:p>
                  </w:txbxContent>
                </v:textbox>
              </v:shape>
            </w:pict>
          </mc:Fallback>
        </mc:AlternateContent>
      </w:r>
      <w:r w:rsidR="00351ED0">
        <w:fldChar w:fldCharType="begin"/>
      </w:r>
      <w:r w:rsidR="00351ED0">
        <w:instrText xml:space="preserve"> REF _Ref448411683 \h </w:instrText>
      </w:r>
      <w:r w:rsidR="00351ED0">
        <w:fldChar w:fldCharType="separate"/>
      </w:r>
      <w:r w:rsidR="00E22E13">
        <w:t xml:space="preserve">Figure </w:t>
      </w:r>
      <w:r w:rsidR="00E22E13">
        <w:rPr>
          <w:noProof/>
        </w:rPr>
        <w:t>46</w:t>
      </w:r>
      <w:r w:rsidR="00351ED0">
        <w:fldChar w:fldCharType="end"/>
      </w:r>
      <w:r w:rsidR="00C23858">
        <w:t xml:space="preserve"> </w:t>
      </w:r>
      <w:r w:rsidR="00C23858" w:rsidRPr="00626E5F">
        <w:rPr>
          <w:bCs/>
        </w:rPr>
        <w:t>describes</w:t>
      </w:r>
      <w:r w:rsidR="00C23858">
        <w:rPr>
          <w:bCs/>
        </w:rPr>
        <w:t xml:space="preserve"> the volum</w:t>
      </w:r>
      <w:r w:rsidR="00C23858" w:rsidRPr="00626E5F">
        <w:rPr>
          <w:bCs/>
        </w:rPr>
        <w:t xml:space="preserve">es of production and potential supply shortfalls across the six distance bands in </w:t>
      </w:r>
      <w:r w:rsidR="00C23858">
        <w:rPr>
          <w:bCs/>
        </w:rPr>
        <w:t>2050, illustrating the large potential supply shortfalls that are expected to emerge across all distance bands by this time</w:t>
      </w:r>
      <w:r w:rsidR="00EA3B27">
        <w:t>.</w:t>
      </w:r>
      <w:r w:rsidR="00C23858">
        <w:t xml:space="preserve"> </w:t>
      </w:r>
      <w:r w:rsidR="00EA3B27">
        <w:t xml:space="preserve"> </w:t>
      </w:r>
    </w:p>
    <w:p w:rsidR="00AB02EB" w:rsidRDefault="00AB02EB" w:rsidP="006916CE">
      <w:pPr>
        <w:pStyle w:val="Minorheading2"/>
      </w:pPr>
      <w:bookmarkStart w:id="261" w:name="_Ref448411683"/>
      <w:r>
        <w:t xml:space="preserve">Figure </w:t>
      </w:r>
      <w:fldSimple w:instr=" SEQ Figure \* ARABIC ">
        <w:r w:rsidR="00E22E13">
          <w:rPr>
            <w:noProof/>
          </w:rPr>
          <w:t>46</w:t>
        </w:r>
      </w:fldSimple>
      <w:bookmarkEnd w:id="261"/>
      <w:r>
        <w:t xml:space="preserve">: </w:t>
      </w:r>
      <w:r w:rsidRPr="006C53D8">
        <w:t>Transport cost reckoner, 2050</w:t>
      </w:r>
      <w:r w:rsidR="00722BAF">
        <w:t>, base case scenario.</w:t>
      </w:r>
    </w:p>
    <w:p w:rsidR="00A9145C" w:rsidRDefault="00AB02EB" w:rsidP="006916CE">
      <w:pPr>
        <w:pStyle w:val="Sources"/>
      </w:pPr>
      <w:r>
        <w:rPr>
          <w:noProof/>
          <w:snapToGrid/>
          <w:lang w:eastAsia="en-AU"/>
        </w:rPr>
        <w:drawing>
          <wp:inline distT="0" distB="0" distL="0" distR="0" wp14:anchorId="61F115F3" wp14:editId="78E3F513">
            <wp:extent cx="7989903" cy="3567287"/>
            <wp:effectExtent l="0" t="0" r="0" b="0"/>
            <wp:docPr id="15425" name="Picture 15425" descr="Figure 46 is a transport cost reckoner for 2050 using the base case scenario.  It shows that overall, in 2050, the estimated average transport distance across all materials demanded is 128km. "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999796" cy="3571704"/>
                    </a:xfrm>
                    <a:prstGeom prst="rect">
                      <a:avLst/>
                    </a:prstGeom>
                  </pic:spPr>
                </pic:pic>
              </a:graphicData>
            </a:graphic>
          </wp:inline>
        </w:drawing>
      </w:r>
      <w:r w:rsidRPr="00AB02EB">
        <w:rPr>
          <w:noProof/>
          <w:snapToGrid/>
          <w:lang w:eastAsia="en-AU"/>
        </w:rPr>
        <w:t xml:space="preserve"> </w:t>
      </w:r>
      <w:r w:rsidR="000E5A81">
        <w:rPr>
          <w:noProof/>
          <w:snapToGrid/>
          <w:lang w:eastAsia="en-AU"/>
        </w:rPr>
        <w:br/>
      </w:r>
      <w:r>
        <w:rPr>
          <w:noProof/>
          <w:snapToGrid/>
          <w:lang w:eastAsia="en-AU"/>
        </w:rPr>
        <w:t>Source: PwC analysis</w:t>
      </w:r>
    </w:p>
    <w:p w:rsidR="006E5735" w:rsidRDefault="00C23858">
      <w:pPr>
        <w:pStyle w:val="PwCNormal"/>
      </w:pPr>
      <w:r>
        <w:fldChar w:fldCharType="begin"/>
      </w:r>
      <w:r>
        <w:instrText xml:space="preserve"> REF _Ref448220530 \h </w:instrText>
      </w:r>
      <w:r>
        <w:fldChar w:fldCharType="separate"/>
      </w:r>
      <w:r w:rsidR="00E22E13">
        <w:t xml:space="preserve">Table </w:t>
      </w:r>
      <w:r w:rsidR="00E22E13">
        <w:rPr>
          <w:noProof/>
        </w:rPr>
        <w:t>26</w:t>
      </w:r>
      <w:r>
        <w:fldChar w:fldCharType="end"/>
      </w:r>
      <w:r>
        <w:t xml:space="preserve"> details the transport cost estimates in 2050.</w:t>
      </w:r>
      <w:r w:rsidR="00EA3B27">
        <w:t xml:space="preserve"> </w:t>
      </w:r>
    </w:p>
    <w:p w:rsidR="00C23858" w:rsidRDefault="000E5A81">
      <w:pPr>
        <w:pStyle w:val="Sources"/>
      </w:pPr>
      <w:r w:rsidRPr="000E5A81">
        <w:rPr>
          <w:noProof/>
          <w:snapToGrid/>
          <w:lang w:eastAsia="en-AU"/>
        </w:rPr>
        <w:t xml:space="preserve"> </w:t>
      </w:r>
    </w:p>
    <w:p w:rsidR="00C23858" w:rsidRDefault="00C23858" w:rsidP="007972FB">
      <w:pPr>
        <w:pStyle w:val="Caption"/>
      </w:pPr>
      <w:bookmarkStart w:id="262" w:name="_Ref448220530"/>
      <w:r>
        <w:t xml:space="preserve">Table </w:t>
      </w:r>
      <w:fldSimple w:instr=" SEQ Table \* ARABIC ">
        <w:r w:rsidR="00E22E13">
          <w:rPr>
            <w:noProof/>
          </w:rPr>
          <w:t>26</w:t>
        </w:r>
      </w:fldSimple>
      <w:bookmarkEnd w:id="262"/>
      <w:r>
        <w:t xml:space="preserve">: </w:t>
      </w:r>
      <w:r w:rsidRPr="004502AB">
        <w:t>Transport cost reckoner, 2050</w:t>
      </w:r>
      <w:r w:rsidR="00722BAF">
        <w:t>, base case scenario</w:t>
      </w:r>
    </w:p>
    <w:p w:rsidR="00781669" w:rsidRDefault="002D55F6" w:rsidP="006916CE">
      <w:pPr>
        <w:pStyle w:val="Sources"/>
      </w:pPr>
      <w:r>
        <w:rPr>
          <w:noProof/>
          <w:snapToGrid/>
          <w:lang w:eastAsia="en-AU"/>
        </w:rPr>
        <w:drawing>
          <wp:inline distT="0" distB="0" distL="0" distR="0" wp14:anchorId="5C3DC606" wp14:editId="48E2B237">
            <wp:extent cx="8238477" cy="2049937"/>
            <wp:effectExtent l="0" t="0" r="0" b="7620"/>
            <wp:docPr id="17417" name="Picture 17417" descr="Table 26 is a transport cost reckoner for 2050 using the base case scenario. It shows that the total transport cost across all distance bands in 2050 is estimated to be $2,684,515,849 which is a proportional cost uplift of 11.6% for delivering the shortfall. " title="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267670" cy="2057201"/>
                    </a:xfrm>
                    <a:prstGeom prst="rect">
                      <a:avLst/>
                    </a:prstGeom>
                  </pic:spPr>
                </pic:pic>
              </a:graphicData>
            </a:graphic>
          </wp:inline>
        </w:drawing>
      </w:r>
      <w:r w:rsidR="000E5A81" w:rsidRPr="00AB02EB">
        <w:rPr>
          <w:noProof/>
          <w:snapToGrid/>
          <w:lang w:eastAsia="en-AU"/>
        </w:rPr>
        <w:t xml:space="preserve"> </w:t>
      </w:r>
      <w:r w:rsidR="001644FB">
        <w:rPr>
          <w:noProof/>
          <w:snapToGrid/>
          <w:lang w:eastAsia="en-AU"/>
        </w:rPr>
        <w:br/>
      </w:r>
      <w:r w:rsidR="000E5A81">
        <w:rPr>
          <w:noProof/>
          <w:snapToGrid/>
          <w:lang w:eastAsia="en-AU"/>
        </w:rPr>
        <w:t>Source: PwC analysis</w:t>
      </w:r>
    </w:p>
    <w:p w:rsidR="00C23858" w:rsidRDefault="00C23858" w:rsidP="00EA3B27">
      <w:pPr>
        <w:pStyle w:val="PwCNormal"/>
      </w:pPr>
      <w:r>
        <w:t xml:space="preserve">Significant growth in the transport costs associated with delivering extractive resources is expected between 2025 and 2050. As </w:t>
      </w:r>
      <w:r>
        <w:fldChar w:fldCharType="begin"/>
      </w:r>
      <w:r>
        <w:instrText xml:space="preserve"> REF _Ref448220530 \h </w:instrText>
      </w:r>
      <w:r>
        <w:fldChar w:fldCharType="separate"/>
      </w:r>
      <w:r w:rsidR="00E22E13">
        <w:t xml:space="preserve">Table </w:t>
      </w:r>
      <w:r w:rsidR="00E22E13">
        <w:rPr>
          <w:noProof/>
        </w:rPr>
        <w:t>26</w:t>
      </w:r>
      <w:r>
        <w:fldChar w:fldCharType="end"/>
      </w:r>
      <w:r>
        <w:t xml:space="preserve"> shows, total transport costs are estimated to reach approximately $2.7 billion by 2050, compared to just under $1 billion in 2025. The cost uplift associated with delivering supply from further afield is approximately 11.6 per cent, at $279 million. </w:t>
      </w:r>
    </w:p>
    <w:p w:rsidR="006A62B8" w:rsidRDefault="006A62B8" w:rsidP="00EA3B27">
      <w:pPr>
        <w:pStyle w:val="PwCNormal"/>
      </w:pPr>
      <w:r>
        <w:t>Considering growth between estimated current transport costs and 2050 illustrates that significant increases are expected in transport costs across all distance bands. Within the 0-50km band a four-fold increase is expected between 2015 and 2050, with total estimated transport costs increasing from $60.6 million to $246.3 million. A more than three-fold increase is seen in the 50-100km band, growing from $134.7 million in 2015 to $431.8 million in 2050. Similar increases are seen across other distance bands.</w:t>
      </w:r>
    </w:p>
    <w:p w:rsidR="006A62B8" w:rsidRDefault="006A62B8" w:rsidP="006916CE">
      <w:pPr>
        <w:pStyle w:val="Heading7"/>
      </w:pPr>
      <w:bookmarkStart w:id="263" w:name="_Ref448329290"/>
      <w:r>
        <w:t>Costs to industry and to society</w:t>
      </w:r>
      <w:bookmarkEnd w:id="263"/>
    </w:p>
    <w:p w:rsidR="006A62B8" w:rsidRDefault="00557062" w:rsidP="00417D11">
      <w:pPr>
        <w:pStyle w:val="PwCNormal"/>
      </w:pPr>
      <w:r>
        <w:t>The transport cost reckoner estimates presented here comprise a combination of transport costs to industry and associated social and environmental (or ‘externality’) costs to society. These externality costs comprise the following items:</w:t>
      </w:r>
    </w:p>
    <w:p w:rsidR="00557062" w:rsidRDefault="00557062" w:rsidP="006916CE">
      <w:pPr>
        <w:pStyle w:val="ListBullet"/>
      </w:pPr>
      <w:r>
        <w:t>air pollution</w:t>
      </w:r>
    </w:p>
    <w:p w:rsidR="00557062" w:rsidRDefault="00557062" w:rsidP="006916CE">
      <w:pPr>
        <w:pStyle w:val="ListBullet"/>
      </w:pPr>
      <w:r>
        <w:t>greenhouse gas emissions</w:t>
      </w:r>
    </w:p>
    <w:p w:rsidR="00557062" w:rsidRDefault="00557062" w:rsidP="006916CE">
      <w:pPr>
        <w:pStyle w:val="ListBullet"/>
      </w:pPr>
      <w:r>
        <w:t>noise pollution</w:t>
      </w:r>
    </w:p>
    <w:p w:rsidR="00557062" w:rsidRDefault="00557062" w:rsidP="006916CE">
      <w:pPr>
        <w:pStyle w:val="ListBullet"/>
      </w:pPr>
      <w:r>
        <w:t>water pollution</w:t>
      </w:r>
    </w:p>
    <w:p w:rsidR="00557062" w:rsidRDefault="00557062" w:rsidP="006916CE">
      <w:pPr>
        <w:pStyle w:val="ListBullet"/>
      </w:pPr>
      <w:r>
        <w:t>nature and landscape</w:t>
      </w:r>
    </w:p>
    <w:p w:rsidR="00557062" w:rsidRDefault="00557062" w:rsidP="006916CE">
      <w:pPr>
        <w:pStyle w:val="ListBullet"/>
      </w:pPr>
      <w:r>
        <w:t>urban separation</w:t>
      </w:r>
    </w:p>
    <w:p w:rsidR="00557062" w:rsidRDefault="00557062" w:rsidP="006916CE">
      <w:pPr>
        <w:pStyle w:val="ListBullet"/>
      </w:pPr>
      <w:r>
        <w:t>upstream and downstream costs.</w:t>
      </w:r>
      <w:r>
        <w:rPr>
          <w:rStyle w:val="FootnoteReference"/>
        </w:rPr>
        <w:footnoteReference w:id="29"/>
      </w:r>
    </w:p>
    <w:p w:rsidR="00557062" w:rsidRPr="00417D11" w:rsidRDefault="009F14A8" w:rsidP="00417D11">
      <w:pPr>
        <w:pStyle w:val="PwCNormal"/>
      </w:pPr>
      <w:r>
        <w:t>E</w:t>
      </w:r>
      <w:r w:rsidR="00557062">
        <w:t xml:space="preserve">xternality costs comprise approximately </w:t>
      </w:r>
      <w:r w:rsidR="001B5E27">
        <w:t>45 per cent of the total estimated transport costs presented here.</w:t>
      </w:r>
      <w:r w:rsidR="003F6D1D">
        <w:rPr>
          <w:rStyle w:val="FootnoteReference"/>
        </w:rPr>
        <w:footnoteReference w:id="30"/>
      </w:r>
      <w:r w:rsidR="001B5E27">
        <w:t xml:space="preserve"> This suggests that industry could expect to bear just under half of these estimated costs, with the remaining costs comprising social and environmental costs that would be borne by Victorian society more broadly. </w:t>
      </w:r>
    </w:p>
    <w:p w:rsidR="00EA3B27" w:rsidRDefault="00792F56" w:rsidP="006916CE">
      <w:pPr>
        <w:pStyle w:val="Heading7"/>
        <w:rPr>
          <w:snapToGrid/>
          <w:lang w:eastAsia="en-AU"/>
        </w:rPr>
      </w:pPr>
      <w:r>
        <w:rPr>
          <w:snapToGrid/>
          <w:lang w:eastAsia="en-AU"/>
        </w:rPr>
        <w:t>Comparison to other scenarios</w:t>
      </w:r>
    </w:p>
    <w:p w:rsidR="00792F56" w:rsidRDefault="00792F56" w:rsidP="006916CE">
      <w:pPr>
        <w:pStyle w:val="PwCNormal"/>
        <w:rPr>
          <w:lang w:eastAsia="en-AU"/>
        </w:rPr>
      </w:pPr>
      <w:r>
        <w:rPr>
          <w:lang w:eastAsia="en-AU"/>
        </w:rPr>
        <w:t xml:space="preserve">Different levels of estimated transport costs are associated with each scenario. This is largely due to differing distributions and/or levels of demand and licensed reserves in each region and the associated changes in potential supply and production shortfalls in different resource locations. </w:t>
      </w:r>
    </w:p>
    <w:p w:rsidR="00722BAF" w:rsidRDefault="00792F56" w:rsidP="006916CE">
      <w:pPr>
        <w:pStyle w:val="PwCNormal"/>
      </w:pPr>
      <w:r>
        <w:rPr>
          <w:lang w:eastAsia="en-AU"/>
        </w:rPr>
        <w:t xml:space="preserve">The analysis has considered in detail the transport cost estimates under scenario 6, which considers a shift in demand towards </w:t>
      </w:r>
      <w:r>
        <w:t xml:space="preserve">urban growth areas with less demand in urban infill regions, while holding supply at base case levels. </w:t>
      </w:r>
    </w:p>
    <w:p w:rsidR="00722BAF" w:rsidRPr="006916CE" w:rsidRDefault="00722BAF" w:rsidP="006916CE">
      <w:pPr>
        <w:pStyle w:val="PwCNormal"/>
        <w:rPr>
          <w:lang w:eastAsia="en-AU"/>
        </w:rPr>
      </w:pPr>
      <w:r>
        <w:t xml:space="preserve">Results are presented for the 2050 analysis year to provide for a comparison against the transport cost estimates presented above under the base case scenario. </w:t>
      </w:r>
      <w:r>
        <w:fldChar w:fldCharType="begin"/>
      </w:r>
      <w:r>
        <w:instrText xml:space="preserve"> REF _Ref448221887 \h </w:instrText>
      </w:r>
      <w:r>
        <w:fldChar w:fldCharType="separate"/>
      </w:r>
      <w:r w:rsidR="00E22E13">
        <w:t xml:space="preserve">Figure </w:t>
      </w:r>
      <w:r w:rsidR="00E22E13">
        <w:rPr>
          <w:noProof/>
        </w:rPr>
        <w:t>47</w:t>
      </w:r>
      <w:r>
        <w:fldChar w:fldCharType="end"/>
      </w:r>
      <w:r>
        <w:t xml:space="preserve"> </w:t>
      </w:r>
      <w:r w:rsidRPr="00626E5F">
        <w:rPr>
          <w:bCs/>
        </w:rPr>
        <w:t>describes</w:t>
      </w:r>
      <w:r>
        <w:rPr>
          <w:bCs/>
        </w:rPr>
        <w:t xml:space="preserve"> the volum</w:t>
      </w:r>
      <w:r w:rsidRPr="00626E5F">
        <w:rPr>
          <w:bCs/>
        </w:rPr>
        <w:t xml:space="preserve">es of production and potential supply shortfalls across the six distance bands in </w:t>
      </w:r>
      <w:r>
        <w:rPr>
          <w:bCs/>
        </w:rPr>
        <w:t>2050 under scenario 6.</w:t>
      </w:r>
      <w:r>
        <w:t xml:space="preserve"> </w:t>
      </w:r>
    </w:p>
    <w:p w:rsidR="00722BAF" w:rsidRDefault="00722BAF">
      <w:pPr>
        <w:pStyle w:val="Caption"/>
      </w:pPr>
      <w:bookmarkStart w:id="264" w:name="_Ref448221887"/>
      <w:r>
        <w:t xml:space="preserve">Figure </w:t>
      </w:r>
      <w:fldSimple w:instr=" SEQ Figure \* ARABIC ">
        <w:r w:rsidR="00E22E13">
          <w:rPr>
            <w:noProof/>
          </w:rPr>
          <w:t>47</w:t>
        </w:r>
      </w:fldSimple>
      <w:bookmarkEnd w:id="264"/>
      <w:r>
        <w:t>: Transport cost reckoner, 2050, Scenario 6</w:t>
      </w:r>
      <w:r w:rsidR="009E0BC1">
        <w:t xml:space="preserve"> (base case supply and increased demand in urban growth areas)</w:t>
      </w:r>
    </w:p>
    <w:p w:rsidR="00CC0A51" w:rsidRDefault="00F505E2" w:rsidP="006916CE">
      <w:pPr>
        <w:pStyle w:val="Sources"/>
        <w:rPr>
          <w:lang w:eastAsia="en-AU"/>
        </w:rPr>
      </w:pPr>
      <w:r w:rsidRPr="00F505E2">
        <w:rPr>
          <w:noProof/>
          <w:lang w:eastAsia="en-AU"/>
        </w:rPr>
        <mc:AlternateContent>
          <mc:Choice Requires="wps">
            <w:drawing>
              <wp:anchor distT="0" distB="0" distL="114300" distR="114300" simplePos="0" relativeHeight="251720704" behindDoc="0" locked="0" layoutInCell="1" allowOverlap="1" wp14:anchorId="3BDBC03F" wp14:editId="786B09AC">
                <wp:simplePos x="0" y="0"/>
                <wp:positionH relativeFrom="column">
                  <wp:posOffset>7142357</wp:posOffset>
                </wp:positionH>
                <wp:positionV relativeFrom="paragraph">
                  <wp:posOffset>133350</wp:posOffset>
                </wp:positionV>
                <wp:extent cx="2044700" cy="992505"/>
                <wp:effectExtent l="990600" t="0" r="12700" b="340995"/>
                <wp:wrapNone/>
                <wp:docPr id="690" name="Rounded Rectangular Callout 23"/>
                <wp:cNvGraphicFramePr/>
                <a:graphic xmlns:a="http://schemas.openxmlformats.org/drawingml/2006/main">
                  <a:graphicData uri="http://schemas.microsoft.com/office/word/2010/wordprocessingShape">
                    <wps:wsp>
                      <wps:cNvSpPr/>
                      <wps:spPr>
                        <a:xfrm>
                          <a:off x="0" y="0"/>
                          <a:ext cx="2044700" cy="992505"/>
                        </a:xfrm>
                        <a:prstGeom prst="wedgeRoundRectCallout">
                          <a:avLst>
                            <a:gd name="adj1" fmla="val -98475"/>
                            <a:gd name="adj2" fmla="val 82621"/>
                            <a:gd name="adj3" fmla="val 16667"/>
                          </a:avLst>
                        </a:prstGeom>
                        <a:ln w="12700"/>
                      </wps:spPr>
                      <wps:style>
                        <a:lnRef idx="2">
                          <a:schemeClr val="accent1"/>
                        </a:lnRef>
                        <a:fillRef idx="1">
                          <a:schemeClr val="lt1"/>
                        </a:fillRef>
                        <a:effectRef idx="0">
                          <a:schemeClr val="accent1"/>
                        </a:effectRef>
                        <a:fontRef idx="minor">
                          <a:schemeClr val="dk1"/>
                        </a:fontRef>
                      </wps:style>
                      <wps:txbx>
                        <w:txbxContent>
                          <w:p w:rsidR="00F752F4" w:rsidRDefault="00F752F4" w:rsidP="00F505E2">
                            <w:pPr>
                              <w:pStyle w:val="NormalWeb"/>
                              <w:spacing w:before="0" w:beforeAutospacing="0" w:after="0" w:afterAutospacing="0"/>
                              <w:jc w:val="center"/>
                              <w:textAlignment w:val="baseline"/>
                            </w:pPr>
                            <w:r>
                              <w:t>In 2050 under scenario 6, the estimated average transport distance across all materials demanded is 128km.</w:t>
                            </w:r>
                          </w:p>
                        </w:txbxContent>
                      </wps:txbx>
                      <wps:bodyPr wrap="square" lIns="0" rIns="0" anchor="ctr">
                        <a:noAutofit/>
                      </wps:bodyPr>
                    </wps:wsp>
                  </a:graphicData>
                </a:graphic>
                <wp14:sizeRelH relativeFrom="margin">
                  <wp14:pctWidth>0</wp14:pctWidth>
                </wp14:sizeRelH>
                <wp14:sizeRelV relativeFrom="margin">
                  <wp14:pctHeight>0</wp14:pctHeight>
                </wp14:sizeRelV>
              </wp:anchor>
            </w:drawing>
          </mc:Choice>
          <mc:Fallback>
            <w:pict>
              <v:shape w14:anchorId="3BDBC03F" id="_x0000_s1032" type="#_x0000_t62" style="position:absolute;margin-left:562.4pt;margin-top:10.5pt;width:161pt;height:7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" adj="-10471,28646" fillcolor="white [3201]" strokecolor="#a32020 [3204]" strokeweight="1pt">
                <v:textbox inset="0,,0">
                  <w:txbxContent>
                    <w:p w:rsidR="00F752F4" w:rsidRDefault="00F752F4" w:rsidP="00F505E2">
                      <w:pPr>
                        <w:pStyle w:val="NormalWeb"/>
                        <w:spacing w:before="0" w:beforeAutospacing="0" w:after="0" w:afterAutospacing="0"/>
                        <w:jc w:val="center"/>
                        <w:textAlignment w:val="baseline"/>
                      </w:pPr>
                      <w:r>
                        <w:t>In 2050 under scenario 6, the estimated average transport distance across all materials demanded is 128km.</w:t>
                      </w:r>
                    </w:p>
                  </w:txbxContent>
                </v:textbox>
              </v:shape>
            </w:pict>
          </mc:Fallback>
        </mc:AlternateContent>
      </w:r>
      <w:r w:rsidR="00722BAF">
        <w:rPr>
          <w:noProof/>
          <w:snapToGrid/>
          <w:lang w:eastAsia="en-AU"/>
        </w:rPr>
        <w:drawing>
          <wp:inline distT="0" distB="0" distL="0" distR="0" wp14:anchorId="3D5F150E" wp14:editId="03B78073">
            <wp:extent cx="8016536" cy="3598878"/>
            <wp:effectExtent l="0" t="0" r="3810" b="1905"/>
            <wp:docPr id="306" name="Picture 306" descr="Figure 47 is a transport cost reckoner for 2050 using scenario 6 (base case supply and increased demand in urban growth areas). It shows that in 2050, under scenario 6, the estimated average transport distance across all materials demand will be 128km. " title="Figure 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030275" cy="3605046"/>
                    </a:xfrm>
                    <a:prstGeom prst="rect">
                      <a:avLst/>
                    </a:prstGeom>
                  </pic:spPr>
                </pic:pic>
              </a:graphicData>
            </a:graphic>
          </wp:inline>
        </w:drawing>
      </w:r>
      <w:r w:rsidR="00722BAF">
        <w:rPr>
          <w:lang w:eastAsia="en-AU"/>
        </w:rPr>
        <w:br/>
        <w:t>Source: PwC analysis</w:t>
      </w:r>
    </w:p>
    <w:p w:rsidR="00CC0A51" w:rsidRDefault="00722BAF" w:rsidP="00CC0A51">
      <w:pPr>
        <w:pStyle w:val="PwCNormal"/>
        <w:rPr>
          <w:lang w:eastAsia="en-AU"/>
        </w:rPr>
      </w:pPr>
      <w:r>
        <w:rPr>
          <w:lang w:eastAsia="en-AU"/>
        </w:rPr>
        <w:t xml:space="preserve">The level and distribution of potential supply shortfalls in 2050 under scenario 6 differ from those under the base case scenario for the same period. For example, the potential supply shortfall in the </w:t>
      </w:r>
      <w:r w:rsidR="00830FE0">
        <w:rPr>
          <w:lang w:eastAsia="en-AU"/>
        </w:rPr>
        <w:t>250-</w:t>
      </w:r>
      <w:r>
        <w:rPr>
          <w:lang w:eastAsia="en-AU"/>
        </w:rPr>
        <w:t>300km distance band is 5.30 million tonnes under scenario 6, while the corresponding amount under the base case is 5.31 million tonnes. In the 50-100km distance band</w:t>
      </w:r>
      <w:r w:rsidR="00830FE0">
        <w:rPr>
          <w:lang w:eastAsia="en-AU"/>
        </w:rPr>
        <w:t xml:space="preserve"> the shortfall amount under scenario 6 is </w:t>
      </w:r>
      <w:r w:rsidR="001E5AFC">
        <w:rPr>
          <w:lang w:eastAsia="en-AU"/>
        </w:rPr>
        <w:t xml:space="preserve">8.1 million tonnes while under the base case this amount is 7.1 million tonnes. </w:t>
      </w:r>
    </w:p>
    <w:p w:rsidR="001E5AFC" w:rsidRDefault="001E5AFC" w:rsidP="00CC0A51">
      <w:pPr>
        <w:pStyle w:val="PwCNormal"/>
        <w:rPr>
          <w:lang w:eastAsia="en-AU"/>
        </w:rPr>
      </w:pPr>
      <w:r>
        <w:rPr>
          <w:lang w:eastAsia="en-AU"/>
        </w:rPr>
        <w:t xml:space="preserve">As expected, these differences are reflected in the estimated transport costs under each scenario. </w:t>
      </w:r>
      <w:r>
        <w:rPr>
          <w:lang w:eastAsia="en-AU"/>
        </w:rPr>
        <w:fldChar w:fldCharType="begin"/>
      </w:r>
      <w:r>
        <w:rPr>
          <w:lang w:eastAsia="en-AU"/>
        </w:rPr>
        <w:instrText xml:space="preserve"> REF _Ref448223046 \h </w:instrText>
      </w:r>
      <w:r>
        <w:rPr>
          <w:lang w:eastAsia="en-AU"/>
        </w:rPr>
      </w:r>
      <w:r>
        <w:rPr>
          <w:lang w:eastAsia="en-AU"/>
        </w:rPr>
        <w:fldChar w:fldCharType="separate"/>
      </w:r>
      <w:r w:rsidR="00E22E13">
        <w:t xml:space="preserve">Table </w:t>
      </w:r>
      <w:r w:rsidR="00E22E13">
        <w:rPr>
          <w:noProof/>
        </w:rPr>
        <w:t>27</w:t>
      </w:r>
      <w:r>
        <w:rPr>
          <w:lang w:eastAsia="en-AU"/>
        </w:rPr>
        <w:fldChar w:fldCharType="end"/>
      </w:r>
      <w:r>
        <w:rPr>
          <w:lang w:eastAsia="en-AU"/>
        </w:rPr>
        <w:t xml:space="preserve"> presents the detailed transport cost estimates under scenario 6.</w:t>
      </w:r>
    </w:p>
    <w:p w:rsidR="009E0BC1" w:rsidRDefault="001E5AFC" w:rsidP="009E0BC1">
      <w:pPr>
        <w:pStyle w:val="Caption"/>
      </w:pPr>
      <w:bookmarkStart w:id="265" w:name="_Ref448223046"/>
      <w:r>
        <w:t xml:space="preserve">Table </w:t>
      </w:r>
      <w:fldSimple w:instr=" SEQ Table \* ARABIC ">
        <w:r w:rsidR="00E22E13">
          <w:rPr>
            <w:noProof/>
          </w:rPr>
          <w:t>27</w:t>
        </w:r>
      </w:fldSimple>
      <w:bookmarkEnd w:id="265"/>
      <w:r w:rsidRPr="004E78A1">
        <w:t xml:space="preserve">: Transport cost reckoner, 2050, </w:t>
      </w:r>
      <w:r w:rsidR="009E0BC1">
        <w:t>S</w:t>
      </w:r>
      <w:r>
        <w:t>cenario 6</w:t>
      </w:r>
      <w:r w:rsidR="009E0BC1">
        <w:t xml:space="preserve"> (base case supply and increased demand in urban growth areas)</w:t>
      </w:r>
    </w:p>
    <w:p w:rsidR="001E5AFC" w:rsidRPr="006916CE" w:rsidRDefault="002D55F6" w:rsidP="006916CE">
      <w:pPr>
        <w:pStyle w:val="Caption"/>
        <w:tabs>
          <w:tab w:val="clear" w:pos="992"/>
          <w:tab w:val="left" w:pos="0"/>
        </w:tabs>
        <w:ind w:left="0" w:firstLine="0"/>
        <w:rPr>
          <w:lang w:eastAsia="en-AU"/>
        </w:rPr>
      </w:pPr>
      <w:r>
        <w:rPr>
          <w:noProof/>
          <w:snapToGrid/>
          <w:lang w:eastAsia="en-AU"/>
        </w:rPr>
        <w:drawing>
          <wp:inline distT="0" distB="0" distL="0" distR="0" wp14:anchorId="31C75E65" wp14:editId="487D1F62">
            <wp:extent cx="8540318" cy="2095845"/>
            <wp:effectExtent l="0" t="0" r="0" b="0"/>
            <wp:docPr id="17420" name="Picture 17420" descr="Table 27 is a transport cost reckoner for 2050 using scenario 6 (base case supply and increased demand in urban growth areas). It shows that the total transport cost across all distance bands in 2050 is $2,837,559,143 which is a proportional cost uplift of 11.6% for delivering the shortfall. " title="Tabl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8555904" cy="2099670"/>
                    </a:xfrm>
                    <a:prstGeom prst="rect">
                      <a:avLst/>
                    </a:prstGeom>
                  </pic:spPr>
                </pic:pic>
              </a:graphicData>
            </a:graphic>
          </wp:inline>
        </w:drawing>
      </w:r>
      <w:r w:rsidR="001E5AFC" w:rsidRPr="001E5AFC">
        <w:rPr>
          <w:lang w:eastAsia="en-AU"/>
        </w:rPr>
        <w:t xml:space="preserve"> </w:t>
      </w:r>
      <w:r w:rsidR="001E5AFC" w:rsidRPr="006916CE">
        <w:rPr>
          <w:b w:val="0"/>
          <w:lang w:eastAsia="en-AU"/>
        </w:rPr>
        <w:t>Source: PwC analysis</w:t>
      </w:r>
    </w:p>
    <w:p w:rsidR="00A83AA7" w:rsidRDefault="001E5AFC">
      <w:pPr>
        <w:pStyle w:val="PwCNormal"/>
      </w:pPr>
      <w:r>
        <w:t xml:space="preserve">Comparing transport cost estimates under scenario 6 with those under the base case scenario, the analysis notes that the total transport cost under scenario 6 is greater under every distance band. This is in part because the total level of demand is greater under scenario 6 than the base case, meaning a greater volume of material needs to be delivered across the road network. </w:t>
      </w:r>
    </w:p>
    <w:p w:rsidR="003C6541" w:rsidRDefault="003C6541">
      <w:pPr>
        <w:pStyle w:val="PwCNormal"/>
      </w:pPr>
      <w:r>
        <w:t>T</w:t>
      </w:r>
      <w:r w:rsidR="001E5AFC">
        <w:t xml:space="preserve">he average distance travelled within each distance band is lower in scenario 6 for the 0-50, 50-100 and 100-150km ranges at 29.4, 73.0 and 124.9km respectively compared with 29.9, 73.2 and 125.7km under the base case. However, within the more distant ranges the trend is reversed, with scenario 6 showing that material in these bands travels further, on average, compared to the base case. </w:t>
      </w:r>
    </w:p>
    <w:p w:rsidR="003C6541" w:rsidRDefault="003C6541">
      <w:pPr>
        <w:pStyle w:val="PwCNormal"/>
      </w:pPr>
      <w:r>
        <w:t>Importantly, t</w:t>
      </w:r>
      <w:r w:rsidR="001E5AFC">
        <w:t>hese differences are reflected in the average cost per tonne figures for each distance band</w:t>
      </w:r>
      <w:r>
        <w:t xml:space="preserve">. This means that under scenario 6, material is delivered at slightly lower costs in the closer distance bands and at slightly higher cost in the more distant bands, relative to the base case. Across all of the distance bands these differences would be expected to balance out, which suggests that the differences in total transport costs between the two scenarios in 2050 are largely due to their different underlying levels of resource demand. </w:t>
      </w:r>
    </w:p>
    <w:p w:rsidR="00F81B49" w:rsidRDefault="003C6541" w:rsidP="006916CE">
      <w:pPr>
        <w:pStyle w:val="PwCNormal"/>
        <w:rPr>
          <w:b/>
          <w:bCs/>
          <w:i/>
          <w:iCs/>
        </w:rPr>
        <w:sectPr w:rsidR="00F81B49" w:rsidSect="001A7D05">
          <w:pgSz w:w="16840" w:h="11907" w:orient="landscape" w:code="9"/>
          <w:pgMar w:top="1843" w:right="1588" w:bottom="1843" w:left="1418" w:header="567" w:footer="567" w:gutter="0"/>
          <w:cols w:space="227"/>
          <w:docGrid w:linePitch="360"/>
        </w:sectPr>
      </w:pPr>
      <w:r>
        <w:t>This could in part reflect the fact that the distribution of demand is not largely different under scenario 6 when compared to the base case. A more divergent distribution would be expected to result in more significant differences in transport cost estimates that is presented above. This could emerge for example where significantly greater urban development was expected in Victoria’s regions compared to base case projections, which would result in greater volumes of material being transported to different demand destinations than is currently anticipated.</w:t>
      </w:r>
      <w:bookmarkStart w:id="266" w:name="_Toc448224578"/>
      <w:bookmarkStart w:id="267" w:name="_Toc448234607"/>
      <w:bookmarkStart w:id="268" w:name="_Toc448224579"/>
      <w:bookmarkStart w:id="269" w:name="_Toc448234608"/>
      <w:bookmarkStart w:id="270" w:name="_Toc448224580"/>
      <w:bookmarkStart w:id="271" w:name="_Toc448234609"/>
      <w:bookmarkStart w:id="272" w:name="_Toc448224581"/>
      <w:bookmarkStart w:id="273" w:name="_Toc448234610"/>
      <w:bookmarkStart w:id="274" w:name="_Toc445905922"/>
      <w:bookmarkStart w:id="275" w:name="_Toc445906119"/>
      <w:bookmarkStart w:id="276" w:name="_Toc445973763"/>
      <w:bookmarkEnd w:id="266"/>
      <w:bookmarkEnd w:id="267"/>
      <w:bookmarkEnd w:id="268"/>
      <w:bookmarkEnd w:id="269"/>
      <w:bookmarkEnd w:id="270"/>
      <w:bookmarkEnd w:id="271"/>
      <w:bookmarkEnd w:id="272"/>
      <w:bookmarkEnd w:id="273"/>
    </w:p>
    <w:p w:rsidR="00ED071A" w:rsidRDefault="00ED071A" w:rsidP="00F81B49">
      <w:pPr>
        <w:pStyle w:val="Heading2"/>
      </w:pPr>
      <w:bookmarkStart w:id="277" w:name="_Toc448917119"/>
      <w:bookmarkStart w:id="278" w:name="_Toc448924826"/>
      <w:bookmarkStart w:id="279" w:name="_Toc448925131"/>
      <w:bookmarkStart w:id="280" w:name="_Toc448935470"/>
      <w:bookmarkStart w:id="281" w:name="_Toc448936089"/>
      <w:bookmarkStart w:id="282" w:name="_Toc449603858"/>
      <w:bookmarkStart w:id="283" w:name="_Toc449603924"/>
      <w:bookmarkStart w:id="284" w:name="_Toc449949933"/>
      <w:bookmarkStart w:id="285" w:name="_Toc449960258"/>
      <w:bookmarkStart w:id="286" w:name="_Toc451239537"/>
      <w:bookmarkStart w:id="287" w:name="_Toc447628747"/>
      <w:bookmarkStart w:id="288" w:name="_Toc447630217"/>
      <w:bookmarkStart w:id="289" w:name="_Toc448153184"/>
      <w:r>
        <w:t>Conclusions</w:t>
      </w:r>
      <w:bookmarkEnd w:id="277"/>
      <w:bookmarkEnd w:id="278"/>
      <w:bookmarkEnd w:id="279"/>
      <w:bookmarkEnd w:id="280"/>
      <w:bookmarkEnd w:id="281"/>
      <w:bookmarkEnd w:id="282"/>
      <w:bookmarkEnd w:id="283"/>
      <w:bookmarkEnd w:id="284"/>
      <w:bookmarkEnd w:id="285"/>
      <w:bookmarkEnd w:id="286"/>
      <w:r>
        <w:t xml:space="preserve"> </w:t>
      </w:r>
      <w:bookmarkEnd w:id="274"/>
      <w:bookmarkEnd w:id="275"/>
      <w:bookmarkEnd w:id="276"/>
      <w:bookmarkEnd w:id="287"/>
      <w:bookmarkEnd w:id="288"/>
      <w:bookmarkEnd w:id="289"/>
    </w:p>
    <w:p w:rsidR="000B0022" w:rsidRPr="00806B28" w:rsidRDefault="000B0022" w:rsidP="006916CE">
      <w:pPr>
        <w:pStyle w:val="BlockText2"/>
        <w:rPr>
          <w:iCs/>
          <w:lang w:eastAsia="en-AU"/>
        </w:rPr>
      </w:pPr>
      <w:r w:rsidRPr="006916CE">
        <w:rPr>
          <w:iCs/>
          <w:sz w:val="20"/>
          <w:lang w:eastAsia="en-AU"/>
        </w:rPr>
        <w:t>The industry faces current challenges…</w:t>
      </w:r>
    </w:p>
    <w:p w:rsidR="006F37A1" w:rsidRDefault="006F37A1" w:rsidP="006916CE">
      <w:pPr>
        <w:pStyle w:val="PwCNormal"/>
        <w:rPr>
          <w:snapToGrid/>
          <w:lang w:eastAsia="en-AU"/>
        </w:rPr>
      </w:pPr>
      <w:r>
        <w:rPr>
          <w:snapToGrid/>
          <w:lang w:eastAsia="en-AU"/>
        </w:rPr>
        <w:t>T</w:t>
      </w:r>
      <w:r w:rsidRPr="00D24F6B">
        <w:rPr>
          <w:snapToGrid/>
          <w:lang w:eastAsia="en-AU"/>
        </w:rPr>
        <w:t xml:space="preserve">he extractive resources </w:t>
      </w:r>
      <w:r>
        <w:rPr>
          <w:snapToGrid/>
          <w:lang w:eastAsia="en-AU"/>
        </w:rPr>
        <w:t xml:space="preserve">industry currently </w:t>
      </w:r>
      <w:r w:rsidRPr="00D24F6B">
        <w:rPr>
          <w:snapToGrid/>
          <w:lang w:eastAsia="en-AU"/>
        </w:rPr>
        <w:t>faces challenges in maintaining access to supplies of quality extractive resources</w:t>
      </w:r>
      <w:r>
        <w:rPr>
          <w:snapToGrid/>
          <w:lang w:eastAsia="en-AU"/>
        </w:rPr>
        <w:t xml:space="preserve">. This is due to a combination of rising demand and encroachment of urban and regional development into existing resource areas. </w:t>
      </w:r>
    </w:p>
    <w:p w:rsidR="000B0022" w:rsidRPr="006916CE" w:rsidRDefault="000B0022" w:rsidP="006916CE">
      <w:pPr>
        <w:pStyle w:val="BlockText2Client"/>
        <w:rPr>
          <w:lang w:eastAsia="en-AU"/>
        </w:rPr>
      </w:pPr>
      <w:r w:rsidRPr="006916CE">
        <w:rPr>
          <w:snapToGrid w:val="0"/>
          <w:lang w:eastAsia="en-AU"/>
        </w:rPr>
        <w:t xml:space="preserve">…and the analysis suggests these </w:t>
      </w:r>
      <w:r>
        <w:rPr>
          <w:snapToGrid w:val="0"/>
          <w:lang w:eastAsia="en-AU"/>
        </w:rPr>
        <w:t>could constrain the future supply of extractive resources.</w:t>
      </w:r>
    </w:p>
    <w:p w:rsidR="006F37A1" w:rsidRDefault="00375276" w:rsidP="009C2220">
      <w:pPr>
        <w:pStyle w:val="ListBullet"/>
        <w:numPr>
          <w:ilvl w:val="0"/>
          <w:numId w:val="0"/>
        </w:numPr>
      </w:pPr>
      <w:r>
        <w:t xml:space="preserve">Despite relatively significant volumes of material held in current and planned future licensed WAs, the </w:t>
      </w:r>
      <w:r w:rsidR="005812B6">
        <w:t xml:space="preserve">granular </w:t>
      </w:r>
      <w:r>
        <w:t xml:space="preserve">analysis presented here </w:t>
      </w:r>
      <w:r w:rsidR="005812B6">
        <w:t>suggests</w:t>
      </w:r>
      <w:r>
        <w:t xml:space="preserve"> that Victoria could potentially face constrained supply of some extractive resources in the future. </w:t>
      </w:r>
      <w:r w:rsidR="006F37A1">
        <w:t>This is because many of these resources are not necessarily ideally located to service projected demand.</w:t>
      </w:r>
      <w:r w:rsidR="000B0022">
        <w:t xml:space="preserve"> This could be due in part to the issue of encroachment mentioned above.</w:t>
      </w:r>
    </w:p>
    <w:p w:rsidR="000B0022" w:rsidRDefault="000B0022" w:rsidP="006916CE">
      <w:pPr>
        <w:pStyle w:val="BlockText2Client"/>
      </w:pPr>
      <w:r>
        <w:t>The costs flowing from these constraints could be significant.</w:t>
      </w:r>
    </w:p>
    <w:p w:rsidR="00375276" w:rsidRDefault="00375276" w:rsidP="009C2220">
      <w:pPr>
        <w:pStyle w:val="ListBullet"/>
        <w:numPr>
          <w:ilvl w:val="0"/>
          <w:numId w:val="0"/>
        </w:numPr>
      </w:pPr>
      <w:r>
        <w:t xml:space="preserve">Any such </w:t>
      </w:r>
      <w:r w:rsidR="006F37A1">
        <w:t xml:space="preserve">supply </w:t>
      </w:r>
      <w:r>
        <w:t xml:space="preserve">constraints would be expected to have flow-on impacts in terms of increased transport </w:t>
      </w:r>
      <w:r w:rsidR="000B0022">
        <w:t xml:space="preserve">costs as resources must be sourced from more distant locations to those currently used. </w:t>
      </w:r>
    </w:p>
    <w:p w:rsidR="000B0022" w:rsidRDefault="000B0022" w:rsidP="000B0022">
      <w:pPr>
        <w:pStyle w:val="PwCNormal"/>
      </w:pPr>
      <w:r>
        <w:t xml:space="preserve">In addition to transport cost increases, the nearly doubling of demand for extractive resources over the period will lead to an increase in the need for transport infrastructure to transport resources from quarries to the sources of demand. This may warrant examination of the need to provide additional infrastructure to support this.   </w:t>
      </w:r>
    </w:p>
    <w:p w:rsidR="000B0022" w:rsidRDefault="000B0022" w:rsidP="006916CE">
      <w:pPr>
        <w:pStyle w:val="BlockText2Client"/>
      </w:pPr>
      <w:r>
        <w:t>The analysis provides a guide to which areas should receive the greatest focus to address these potential costs…</w:t>
      </w:r>
    </w:p>
    <w:p w:rsidR="000B0022" w:rsidRDefault="000B0022" w:rsidP="006916CE">
      <w:pPr>
        <w:pStyle w:val="ListBullet"/>
        <w:numPr>
          <w:ilvl w:val="0"/>
          <w:numId w:val="0"/>
        </w:numPr>
      </w:pPr>
      <w:r>
        <w:t xml:space="preserve">Chapter </w:t>
      </w:r>
      <w:r>
        <w:fldChar w:fldCharType="begin"/>
      </w:r>
      <w:r>
        <w:instrText xml:space="preserve"> REF _Ref448915939 \n \h </w:instrText>
      </w:r>
      <w:r>
        <w:fldChar w:fldCharType="separate"/>
      </w:r>
      <w:r w:rsidR="00E22E13">
        <w:t>5</w:t>
      </w:r>
      <w:r>
        <w:fldChar w:fldCharType="end"/>
      </w:r>
      <w:r>
        <w:t xml:space="preserve"> identifies 15 key extractive resource areas within Victoria that are likely to be critical to the State’s future development. The assessment detailed in Chapter </w:t>
      </w:r>
      <w:r>
        <w:fldChar w:fldCharType="begin"/>
      </w:r>
      <w:r>
        <w:instrText xml:space="preserve"> REF _Ref448915939 \n \h </w:instrText>
      </w:r>
      <w:r>
        <w:fldChar w:fldCharType="separate"/>
      </w:r>
      <w:r w:rsidR="00E22E13">
        <w:t>5</w:t>
      </w:r>
      <w:r>
        <w:fldChar w:fldCharType="end"/>
      </w:r>
      <w:r>
        <w:t xml:space="preserve"> provides a framework that could be used to guide future decision making around prioritisation of different activities where competition for the same or adjacent pieces of land emerge.  </w:t>
      </w:r>
    </w:p>
    <w:p w:rsidR="000B0022" w:rsidRDefault="000B0022" w:rsidP="006916CE">
      <w:pPr>
        <w:pStyle w:val="BlockText2Client"/>
      </w:pPr>
      <w:r>
        <w:t xml:space="preserve">…along with some indication of the </w:t>
      </w:r>
      <w:r w:rsidR="00D90752">
        <w:t>price</w:t>
      </w:r>
      <w:r>
        <w:t xml:space="preserve"> of inaction.</w:t>
      </w:r>
    </w:p>
    <w:p w:rsidR="000B0022" w:rsidRDefault="000B0022" w:rsidP="000B0022">
      <w:pPr>
        <w:pStyle w:val="PwCNormal"/>
      </w:pPr>
      <w:r>
        <w:t xml:space="preserve">If quarry development in the above identified areas of critical supply is not supported, this could lead to potential supply shortfalls emerging. This will, in turn, have flow on effects to the industries which rely heavily on these resources including, building construction (residential and non-residential), and engineering construction (transport, energy and utilities). </w:t>
      </w:r>
    </w:p>
    <w:p w:rsidR="000B0022" w:rsidRDefault="000B0022" w:rsidP="000B0022">
      <w:pPr>
        <w:pStyle w:val="ListBullet"/>
        <w:numPr>
          <w:ilvl w:val="0"/>
          <w:numId w:val="0"/>
        </w:numPr>
      </w:pPr>
      <w:r>
        <w:t xml:space="preserve">In addition to these direct effects, there will be wider impacts on the entire supply chain including industries which support the construction sector (e.g. supplier of services to the construction industry) as well as households across Victoria (e.g. employment and wages and salaries may be affected, which in turn affect household consumption of goods and services). These economy-wide impacts will likely have a material effect on the broader economy through changes in levels of economic growth, as measured by </w:t>
      </w:r>
      <w:r w:rsidR="009069AC">
        <w:t xml:space="preserve"> GSP</w:t>
      </w:r>
      <w:r>
        <w:t>, household consumption and employment. However, these economy-wide impacts have not been specifically considered in this study.</w:t>
      </w:r>
    </w:p>
    <w:p w:rsidR="006F37A1" w:rsidRDefault="006F37A1" w:rsidP="009C2220">
      <w:pPr>
        <w:pStyle w:val="ListBullet"/>
        <w:numPr>
          <w:ilvl w:val="0"/>
          <w:numId w:val="0"/>
        </w:numPr>
      </w:pPr>
      <w:r>
        <w:t xml:space="preserve">Industry participants have advised PwC that licensing new resource deposits is costly and time consuming. Issues such as these could limit Victoria’s capacity to respond quickly to any future scenario where the supply of extractive resources is constrained. The potential cost impacts that could flow from such a scenario, as discussed above, provide some indication of the price to the State of </w:t>
      </w:r>
      <w:r w:rsidR="00D90752">
        <w:t xml:space="preserve">allowing </w:t>
      </w:r>
      <w:r>
        <w:t>the status quo</w:t>
      </w:r>
      <w:r w:rsidR="00D90752">
        <w:t xml:space="preserve"> to continue</w:t>
      </w:r>
      <w:r>
        <w:t xml:space="preserve">. </w:t>
      </w:r>
    </w:p>
    <w:p w:rsidR="006F37A1" w:rsidRDefault="006F37A1" w:rsidP="000B0022">
      <w:pPr>
        <w:pStyle w:val="ListBullet"/>
        <w:numPr>
          <w:ilvl w:val="0"/>
          <w:numId w:val="0"/>
        </w:numPr>
      </w:pPr>
    </w:p>
    <w:p w:rsidR="00A35494" w:rsidRDefault="00A35494" w:rsidP="009262C4">
      <w:pPr>
        <w:pStyle w:val="PwCNormal"/>
      </w:pPr>
    </w:p>
    <w:p w:rsidR="00E84297" w:rsidRDefault="00EF363F" w:rsidP="009C2220">
      <w:pPr>
        <w:pStyle w:val="PwCNormal"/>
      </w:pPr>
      <w:r>
        <w:t xml:space="preserve"> </w:t>
      </w:r>
    </w:p>
    <w:p w:rsidR="001D7793" w:rsidRDefault="001D7793">
      <w:pPr>
        <w:pStyle w:val="PwCNormal"/>
      </w:pPr>
      <w:r>
        <w:t xml:space="preserve"> </w:t>
      </w:r>
    </w:p>
    <w:p w:rsidR="007367A3" w:rsidRPr="00ED071A" w:rsidRDefault="007367A3" w:rsidP="002E1719">
      <w:pPr>
        <w:pStyle w:val="PwCNormal"/>
        <w:sectPr w:rsidR="007367A3" w:rsidRPr="00ED071A" w:rsidSect="001A7D05">
          <w:pgSz w:w="11907" w:h="16840" w:code="9"/>
          <w:pgMar w:top="1588" w:right="1843" w:bottom="1418" w:left="1843" w:header="567" w:footer="567" w:gutter="0"/>
          <w:cols w:space="227"/>
          <w:titlePg/>
          <w:docGrid w:linePitch="360"/>
        </w:sectPr>
      </w:pPr>
    </w:p>
    <w:p w:rsidR="00C00A66" w:rsidRDefault="004F0878" w:rsidP="008E75A3">
      <w:pPr>
        <w:pStyle w:val="Appendicestitle"/>
      </w:pPr>
      <w:bookmarkStart w:id="290" w:name="_Toc150158830"/>
      <w:bookmarkStart w:id="291" w:name="_Toc152054531"/>
      <w:bookmarkStart w:id="292" w:name="_Toc175455170"/>
      <w:bookmarkStart w:id="293" w:name="_Toc188929763"/>
      <w:bookmarkStart w:id="294" w:name="_Toc190831168"/>
      <w:bookmarkStart w:id="295" w:name="_Toc190831919"/>
      <w:bookmarkStart w:id="296" w:name="_Toc222740491"/>
      <w:bookmarkStart w:id="297" w:name="_Toc222797936"/>
      <w:bookmarkStart w:id="298" w:name="_Toc222812200"/>
      <w:bookmarkStart w:id="299" w:name="_Toc222812227"/>
      <w:bookmarkStart w:id="300" w:name="_Toc222812328"/>
      <w:bookmarkStart w:id="301" w:name="_Toc222812365"/>
      <w:bookmarkStart w:id="302" w:name="_Toc225761846"/>
      <w:bookmarkStart w:id="303" w:name="_Toc225761870"/>
      <w:bookmarkStart w:id="304" w:name="_Toc225761910"/>
      <w:bookmarkStart w:id="305" w:name="_Toc225761938"/>
      <w:bookmarkStart w:id="306" w:name="_Toc225761943"/>
      <w:bookmarkStart w:id="307" w:name="_Toc225761966"/>
      <w:bookmarkStart w:id="308" w:name="_Toc225761994"/>
      <w:bookmarkStart w:id="309" w:name="_Toc225762001"/>
      <w:bookmarkStart w:id="310" w:name="_Toc225762006"/>
      <w:bookmarkStart w:id="311" w:name="_Toc225762012"/>
      <w:bookmarkStart w:id="312" w:name="_Toc225762175"/>
      <w:bookmarkStart w:id="313" w:name="_Toc225762181"/>
      <w:bookmarkStart w:id="314" w:name="_Toc225762203"/>
      <w:bookmarkStart w:id="315" w:name="_Toc225763053"/>
      <w:bookmarkStart w:id="316" w:name="_Toc225910585"/>
      <w:bookmarkStart w:id="317" w:name="_Toc225910639"/>
      <w:bookmarkStart w:id="318" w:name="_Toc225910665"/>
      <w:bookmarkStart w:id="319" w:name="_Toc225910695"/>
      <w:bookmarkStart w:id="320" w:name="_Toc225911504"/>
      <w:bookmarkStart w:id="321" w:name="_Toc225911520"/>
      <w:bookmarkStart w:id="322" w:name="_Toc225912405"/>
      <w:bookmarkStart w:id="323" w:name="_Toc225912871"/>
      <w:bookmarkStart w:id="324" w:name="_Toc225913057"/>
      <w:bookmarkStart w:id="325" w:name="_Toc225913091"/>
      <w:bookmarkStart w:id="326" w:name="_Toc225913280"/>
      <w:r>
        <w:t>Appendices</w:t>
      </w:r>
      <w:bookmarkStart w:id="327" w:name="TOCAppendix"/>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424954" w:rsidRPr="00424954" w:rsidRDefault="005E3C65">
      <w:pPr>
        <w:pStyle w:val="TOC4"/>
        <w:rPr>
          <w:noProof/>
        </w:rPr>
      </w:pPr>
      <w:r>
        <w:rPr>
          <w:color w:val="FFFFFF" w:themeColor="background1"/>
        </w:rPr>
        <w:fldChar w:fldCharType="begin"/>
      </w:r>
      <w:r w:rsidR="004F0878">
        <w:instrText xml:space="preserve"> </w:instrText>
      </w:r>
      <w:r w:rsidR="004F0878" w:rsidRPr="003A7350">
        <w:instrText>TOC \t " Heading 3,3,Heading 4,4" \*Charformat</w:instrText>
      </w:r>
      <w:r w:rsidR="004F0878">
        <w:instrText xml:space="preserve"> </w:instrText>
      </w:r>
      <w:r>
        <w:rPr>
          <w:color w:val="FFFFFF" w:themeColor="background1"/>
        </w:rPr>
        <w:fldChar w:fldCharType="separate"/>
      </w:r>
      <w:r w:rsidR="00424954" w:rsidRPr="00424954">
        <w:rPr>
          <w:noProof/>
        </w:rPr>
        <w:t>Appendix A</w:t>
      </w:r>
      <w:r w:rsidR="00424954" w:rsidRPr="00424954">
        <w:rPr>
          <w:noProof/>
        </w:rPr>
        <w:tab/>
      </w:r>
      <w:r w:rsidR="00424954">
        <w:rPr>
          <w:noProof/>
        </w:rPr>
        <w:t>Response confidentiality</w:t>
      </w:r>
      <w:r w:rsidR="00424954">
        <w:rPr>
          <w:noProof/>
        </w:rPr>
        <w:tab/>
      </w:r>
      <w:r w:rsidR="00424954">
        <w:rPr>
          <w:noProof/>
        </w:rPr>
        <w:fldChar w:fldCharType="begin"/>
      </w:r>
      <w:r w:rsidR="00424954">
        <w:rPr>
          <w:noProof/>
        </w:rPr>
        <w:instrText xml:space="preserve"> PAGEREF _Toc451239544 \h </w:instrText>
      </w:r>
      <w:r w:rsidR="00424954">
        <w:rPr>
          <w:noProof/>
        </w:rPr>
      </w:r>
      <w:r w:rsidR="00424954">
        <w:rPr>
          <w:noProof/>
        </w:rPr>
        <w:fldChar w:fldCharType="separate"/>
      </w:r>
      <w:r w:rsidR="00E22E13">
        <w:rPr>
          <w:noProof/>
        </w:rPr>
        <w:t>102</w:t>
      </w:r>
      <w:r w:rsidR="00424954">
        <w:rPr>
          <w:noProof/>
        </w:rPr>
        <w:fldChar w:fldCharType="end"/>
      </w:r>
    </w:p>
    <w:p w:rsidR="00424954" w:rsidRPr="00424954" w:rsidRDefault="00424954">
      <w:pPr>
        <w:pStyle w:val="TOC4"/>
        <w:rPr>
          <w:noProof/>
        </w:rPr>
      </w:pPr>
      <w:r w:rsidRPr="00424954">
        <w:rPr>
          <w:noProof/>
        </w:rPr>
        <w:t>Appendix B</w:t>
      </w:r>
      <w:r w:rsidRPr="00424954">
        <w:rPr>
          <w:noProof/>
        </w:rPr>
        <w:tab/>
      </w:r>
      <w:r>
        <w:rPr>
          <w:noProof/>
        </w:rPr>
        <w:t>Assumptions</w:t>
      </w:r>
      <w:r>
        <w:rPr>
          <w:noProof/>
        </w:rPr>
        <w:tab/>
      </w:r>
      <w:r>
        <w:rPr>
          <w:noProof/>
        </w:rPr>
        <w:fldChar w:fldCharType="begin"/>
      </w:r>
      <w:r>
        <w:rPr>
          <w:noProof/>
        </w:rPr>
        <w:instrText xml:space="preserve"> PAGEREF _Toc451239545 \h </w:instrText>
      </w:r>
      <w:r>
        <w:rPr>
          <w:noProof/>
        </w:rPr>
      </w:r>
      <w:r>
        <w:rPr>
          <w:noProof/>
        </w:rPr>
        <w:fldChar w:fldCharType="separate"/>
      </w:r>
      <w:r w:rsidR="00E22E13">
        <w:rPr>
          <w:noProof/>
        </w:rPr>
        <w:t>104</w:t>
      </w:r>
      <w:r>
        <w:rPr>
          <w:noProof/>
        </w:rPr>
        <w:fldChar w:fldCharType="end"/>
      </w:r>
    </w:p>
    <w:p w:rsidR="00424954" w:rsidRPr="00424954" w:rsidRDefault="00424954">
      <w:pPr>
        <w:pStyle w:val="TOC4"/>
        <w:rPr>
          <w:noProof/>
        </w:rPr>
      </w:pPr>
      <w:r w:rsidRPr="00424954">
        <w:rPr>
          <w:noProof/>
        </w:rPr>
        <w:t>Appendix C</w:t>
      </w:r>
      <w:r w:rsidRPr="00424954">
        <w:rPr>
          <w:noProof/>
        </w:rPr>
        <w:tab/>
      </w:r>
      <w:r>
        <w:rPr>
          <w:noProof/>
        </w:rPr>
        <w:t>Detailed supply study methodology</w:t>
      </w:r>
      <w:r>
        <w:rPr>
          <w:noProof/>
        </w:rPr>
        <w:tab/>
      </w:r>
      <w:r>
        <w:rPr>
          <w:noProof/>
        </w:rPr>
        <w:fldChar w:fldCharType="begin"/>
      </w:r>
      <w:r>
        <w:rPr>
          <w:noProof/>
        </w:rPr>
        <w:instrText xml:space="preserve"> PAGEREF _Toc451239546 \h </w:instrText>
      </w:r>
      <w:r>
        <w:rPr>
          <w:noProof/>
        </w:rPr>
      </w:r>
      <w:r>
        <w:rPr>
          <w:noProof/>
        </w:rPr>
        <w:fldChar w:fldCharType="separate"/>
      </w:r>
      <w:r w:rsidR="00E22E13">
        <w:rPr>
          <w:noProof/>
        </w:rPr>
        <w:t>107</w:t>
      </w:r>
      <w:r>
        <w:rPr>
          <w:noProof/>
        </w:rPr>
        <w:fldChar w:fldCharType="end"/>
      </w:r>
    </w:p>
    <w:p w:rsidR="00424954" w:rsidRPr="00424954" w:rsidRDefault="00424954">
      <w:pPr>
        <w:pStyle w:val="TOC4"/>
        <w:rPr>
          <w:noProof/>
        </w:rPr>
      </w:pPr>
      <w:r w:rsidRPr="00424954">
        <w:rPr>
          <w:noProof/>
        </w:rPr>
        <w:t>Appendix D</w:t>
      </w:r>
      <w:r w:rsidRPr="00424954">
        <w:rPr>
          <w:noProof/>
        </w:rPr>
        <w:tab/>
      </w:r>
      <w:r>
        <w:rPr>
          <w:noProof/>
        </w:rPr>
        <w:t>Strategic Resource Determination Criteria</w:t>
      </w:r>
      <w:r>
        <w:rPr>
          <w:noProof/>
        </w:rPr>
        <w:tab/>
      </w:r>
      <w:r>
        <w:rPr>
          <w:noProof/>
        </w:rPr>
        <w:fldChar w:fldCharType="begin"/>
      </w:r>
      <w:r>
        <w:rPr>
          <w:noProof/>
        </w:rPr>
        <w:instrText xml:space="preserve"> PAGEREF _Toc451239547 \h </w:instrText>
      </w:r>
      <w:r>
        <w:rPr>
          <w:noProof/>
        </w:rPr>
      </w:r>
      <w:r>
        <w:rPr>
          <w:noProof/>
        </w:rPr>
        <w:fldChar w:fldCharType="separate"/>
      </w:r>
      <w:r w:rsidR="00E22E13">
        <w:rPr>
          <w:noProof/>
        </w:rPr>
        <w:t>118</w:t>
      </w:r>
      <w:r>
        <w:rPr>
          <w:noProof/>
        </w:rPr>
        <w:fldChar w:fldCharType="end"/>
      </w:r>
    </w:p>
    <w:p w:rsidR="00424954" w:rsidRPr="00424954" w:rsidRDefault="00424954">
      <w:pPr>
        <w:pStyle w:val="TOC4"/>
        <w:rPr>
          <w:noProof/>
        </w:rPr>
      </w:pPr>
      <w:r w:rsidRPr="00424954">
        <w:rPr>
          <w:noProof/>
        </w:rPr>
        <w:t>Appendix E</w:t>
      </w:r>
      <w:r w:rsidRPr="00424954">
        <w:rPr>
          <w:noProof/>
        </w:rPr>
        <w:tab/>
      </w:r>
      <w:r>
        <w:rPr>
          <w:noProof/>
        </w:rPr>
        <w:t>Demand analysis report</w:t>
      </w:r>
      <w:r>
        <w:rPr>
          <w:noProof/>
        </w:rPr>
        <w:tab/>
      </w:r>
      <w:r>
        <w:rPr>
          <w:noProof/>
        </w:rPr>
        <w:fldChar w:fldCharType="begin"/>
      </w:r>
      <w:r>
        <w:rPr>
          <w:noProof/>
        </w:rPr>
        <w:instrText xml:space="preserve"> PAGEREF _Toc451239548 \h </w:instrText>
      </w:r>
      <w:r>
        <w:rPr>
          <w:noProof/>
        </w:rPr>
      </w:r>
      <w:r>
        <w:rPr>
          <w:noProof/>
        </w:rPr>
        <w:fldChar w:fldCharType="separate"/>
      </w:r>
      <w:r w:rsidR="00E22E13">
        <w:rPr>
          <w:noProof/>
        </w:rPr>
        <w:t>120</w:t>
      </w:r>
      <w:r>
        <w:rPr>
          <w:noProof/>
        </w:rPr>
        <w:fldChar w:fldCharType="end"/>
      </w:r>
    </w:p>
    <w:p w:rsidR="00424954" w:rsidRPr="00424954" w:rsidRDefault="00424954">
      <w:pPr>
        <w:pStyle w:val="TOC4"/>
        <w:rPr>
          <w:noProof/>
        </w:rPr>
      </w:pPr>
      <w:r w:rsidRPr="00424954">
        <w:rPr>
          <w:noProof/>
        </w:rPr>
        <w:t>Appendix F</w:t>
      </w:r>
      <w:r w:rsidRPr="00424954">
        <w:rPr>
          <w:noProof/>
        </w:rPr>
        <w:tab/>
      </w:r>
      <w:r>
        <w:rPr>
          <w:noProof/>
        </w:rPr>
        <w:t>Classification of LGAs used</w:t>
      </w:r>
      <w:r>
        <w:rPr>
          <w:noProof/>
        </w:rPr>
        <w:tab/>
      </w:r>
      <w:r>
        <w:rPr>
          <w:noProof/>
        </w:rPr>
        <w:fldChar w:fldCharType="begin"/>
      </w:r>
      <w:r>
        <w:rPr>
          <w:noProof/>
        </w:rPr>
        <w:instrText xml:space="preserve"> PAGEREF _Toc451239549 \h </w:instrText>
      </w:r>
      <w:r>
        <w:rPr>
          <w:noProof/>
        </w:rPr>
      </w:r>
      <w:r>
        <w:rPr>
          <w:noProof/>
        </w:rPr>
        <w:fldChar w:fldCharType="separate"/>
      </w:r>
      <w:r w:rsidR="00E22E13">
        <w:rPr>
          <w:noProof/>
        </w:rPr>
        <w:t>121</w:t>
      </w:r>
      <w:r>
        <w:rPr>
          <w:noProof/>
        </w:rPr>
        <w:fldChar w:fldCharType="end"/>
      </w:r>
    </w:p>
    <w:p w:rsidR="00A925C6" w:rsidRPr="00A925C6" w:rsidRDefault="005E3C65" w:rsidP="00A925C6">
      <w:pPr>
        <w:pStyle w:val="PwCNormal"/>
      </w:pPr>
      <w:r>
        <w:fldChar w:fldCharType="end"/>
      </w:r>
    </w:p>
    <w:p w:rsidR="004F0878" w:rsidRPr="00FC2C77" w:rsidRDefault="004F0878" w:rsidP="006916CE">
      <w:pPr>
        <w:pStyle w:val="ChapterNumberLong"/>
        <w:numPr>
          <w:ilvl w:val="0"/>
          <w:numId w:val="0"/>
        </w:numPr>
        <w:sectPr w:rsidR="004F0878" w:rsidRPr="00FC2C77" w:rsidSect="001A7D05">
          <w:headerReference w:type="even" r:id="rId83"/>
          <w:headerReference w:type="default" r:id="rId84"/>
          <w:footerReference w:type="even" r:id="rId85"/>
          <w:footerReference w:type="default" r:id="rId86"/>
          <w:headerReference w:type="first" r:id="rId87"/>
          <w:footerReference w:type="first" r:id="rId88"/>
          <w:type w:val="oddPage"/>
          <w:pgSz w:w="11907" w:h="16840" w:code="9"/>
          <w:pgMar w:top="1588" w:right="1843" w:bottom="1418" w:left="1843" w:header="567" w:footer="567" w:gutter="0"/>
          <w:cols w:space="227"/>
          <w:titlePg/>
          <w:docGrid w:linePitch="360"/>
        </w:sectPr>
      </w:pPr>
    </w:p>
    <w:p w:rsidR="00200EF1" w:rsidRPr="00546EA3" w:rsidRDefault="00546EA3" w:rsidP="00E060CE">
      <w:pPr>
        <w:pStyle w:val="Heading4"/>
        <w:numPr>
          <w:ilvl w:val="4"/>
          <w:numId w:val="76"/>
        </w:numPr>
      </w:pPr>
      <w:bookmarkStart w:id="328" w:name="_Toc449950050"/>
      <w:bookmarkStart w:id="329" w:name="_Toc449950057"/>
      <w:bookmarkStart w:id="330" w:name="_Toc449960259"/>
      <w:bookmarkStart w:id="331" w:name="_Toc449960266"/>
      <w:bookmarkStart w:id="332" w:name="_Toc451161375"/>
      <w:bookmarkStart w:id="333" w:name="_Toc451161382"/>
      <w:bookmarkStart w:id="334" w:name="_Toc448925132"/>
      <w:bookmarkStart w:id="335" w:name="_Toc448935471"/>
      <w:bookmarkStart w:id="336" w:name="_Toc448936090"/>
      <w:bookmarkStart w:id="337" w:name="_Toc449603859"/>
      <w:bookmarkStart w:id="338" w:name="_Toc449603925"/>
      <w:bookmarkStart w:id="339" w:name="_Toc449949934"/>
      <w:bookmarkStart w:id="340" w:name="_Toc449960260"/>
      <w:bookmarkStart w:id="341" w:name="_Toc451239538"/>
      <w:bookmarkStart w:id="342" w:name="_Toc451239544"/>
      <w:bookmarkStart w:id="343" w:name="_Ref445638260"/>
      <w:bookmarkStart w:id="344" w:name="_Toc445905924"/>
      <w:bookmarkStart w:id="345" w:name="_Toc445906121"/>
      <w:bookmarkStart w:id="346" w:name="_Toc445973765"/>
      <w:bookmarkStart w:id="347" w:name="_Toc447628749"/>
      <w:bookmarkStart w:id="348" w:name="_Toc447630219"/>
      <w:bookmarkStart w:id="349" w:name="_Toc448153186"/>
      <w:bookmarkStart w:id="350" w:name="_Toc448917120"/>
      <w:bookmarkEnd w:id="328"/>
      <w:bookmarkEnd w:id="329"/>
      <w:bookmarkEnd w:id="330"/>
      <w:bookmarkEnd w:id="331"/>
      <w:bookmarkEnd w:id="332"/>
      <w:bookmarkEnd w:id="333"/>
      <w:r>
        <w:t>Response confidentiality</w:t>
      </w:r>
      <w:bookmarkEnd w:id="334"/>
      <w:bookmarkEnd w:id="335"/>
      <w:bookmarkEnd w:id="336"/>
      <w:bookmarkEnd w:id="337"/>
      <w:bookmarkEnd w:id="338"/>
      <w:bookmarkEnd w:id="339"/>
      <w:bookmarkEnd w:id="340"/>
      <w:bookmarkEnd w:id="341"/>
      <w:bookmarkEnd w:id="342"/>
      <w:r>
        <w:t xml:space="preserve"> </w:t>
      </w:r>
      <w:bookmarkEnd w:id="343"/>
      <w:bookmarkEnd w:id="344"/>
      <w:bookmarkEnd w:id="345"/>
      <w:bookmarkEnd w:id="346"/>
      <w:bookmarkEnd w:id="347"/>
      <w:bookmarkEnd w:id="348"/>
      <w:bookmarkEnd w:id="349"/>
      <w:bookmarkEnd w:id="350"/>
    </w:p>
    <w:p w:rsidR="008837A4" w:rsidRDefault="008837A4" w:rsidP="008837A4">
      <w:pPr>
        <w:pStyle w:val="Minorheading3"/>
      </w:pPr>
      <w:r>
        <w:t>Aggregation triggers</w:t>
      </w:r>
    </w:p>
    <w:p w:rsidR="008837A4" w:rsidRDefault="008837A4" w:rsidP="008837A4">
      <w:pPr>
        <w:pStyle w:val="PwCNormal"/>
      </w:pPr>
      <w:r>
        <w:t>The aggregation triggers to preserve respondent confidentiality include:</w:t>
      </w:r>
    </w:p>
    <w:p w:rsidR="008837A4" w:rsidRPr="006F07F9" w:rsidRDefault="008837A4" w:rsidP="008837A4">
      <w:pPr>
        <w:pStyle w:val="ListBullet"/>
        <w:rPr>
          <w:b/>
        </w:rPr>
      </w:pPr>
      <w:r w:rsidRPr="006F07F9">
        <w:rPr>
          <w:b/>
        </w:rPr>
        <w:t>Aggregation by region</w:t>
      </w:r>
    </w:p>
    <w:p w:rsidR="008837A4" w:rsidRDefault="008837A4" w:rsidP="008837A4">
      <w:pPr>
        <w:pStyle w:val="ListBullet2"/>
        <w:numPr>
          <w:ilvl w:val="1"/>
          <w:numId w:val="37"/>
        </w:numPr>
      </w:pPr>
      <w:r>
        <w:t>Grouping of work authorities of the same rock type by LGA</w:t>
      </w:r>
    </w:p>
    <w:p w:rsidR="008837A4" w:rsidRDefault="008837A4" w:rsidP="008837A4">
      <w:pPr>
        <w:pStyle w:val="ListBullet2"/>
        <w:numPr>
          <w:ilvl w:val="1"/>
          <w:numId w:val="37"/>
        </w:numPr>
      </w:pPr>
      <w:r>
        <w:t>Grouping of LGAs into broader regions representing groups of two or more LGAs in cases where aggregation a) does not ensure respondent confidentiality</w:t>
      </w:r>
    </w:p>
    <w:p w:rsidR="008837A4" w:rsidRDefault="008837A4" w:rsidP="008837A4">
      <w:pPr>
        <w:pStyle w:val="ListBullet2"/>
        <w:numPr>
          <w:ilvl w:val="0"/>
          <w:numId w:val="37"/>
        </w:numPr>
        <w:rPr>
          <w:b/>
        </w:rPr>
      </w:pPr>
      <w:r w:rsidRPr="006F07F9">
        <w:rPr>
          <w:b/>
        </w:rPr>
        <w:t xml:space="preserve">Aggregation by </w:t>
      </w:r>
      <w:r w:rsidR="00BA20CD">
        <w:rPr>
          <w:b/>
        </w:rPr>
        <w:t xml:space="preserve">rock </w:t>
      </w:r>
      <w:r w:rsidRPr="006F07F9">
        <w:rPr>
          <w:b/>
        </w:rPr>
        <w:t>type</w:t>
      </w:r>
    </w:p>
    <w:p w:rsidR="008837A4" w:rsidRPr="006F07F9" w:rsidRDefault="008837A4" w:rsidP="008837A4">
      <w:pPr>
        <w:pStyle w:val="ListBullet2"/>
        <w:numPr>
          <w:ilvl w:val="1"/>
          <w:numId w:val="37"/>
        </w:numPr>
        <w:rPr>
          <w:b/>
        </w:rPr>
      </w:pPr>
      <w:r>
        <w:t xml:space="preserve">Grouping of work authorities across two or more rock types within a particular region, provided the grouping is still meaningful to the reader (i.e. information on the characteristics of the underlying resource(s) is not lost in the aggregation). </w:t>
      </w:r>
      <w:r>
        <w:fldChar w:fldCharType="begin"/>
      </w:r>
      <w:r>
        <w:instrText xml:space="preserve"> REF _Ref445640509 \h </w:instrText>
      </w:r>
      <w:r>
        <w:fldChar w:fldCharType="separate"/>
      </w:r>
      <w:r w:rsidR="00E22E13">
        <w:t xml:space="preserve">Table </w:t>
      </w:r>
      <w:r w:rsidR="00E22E13">
        <w:rPr>
          <w:noProof/>
        </w:rPr>
        <w:t>28</w:t>
      </w:r>
      <w:r>
        <w:fldChar w:fldCharType="end"/>
      </w:r>
      <w:r>
        <w:t xml:space="preserve"> in </w:t>
      </w:r>
      <w:r w:rsidR="00DD42BF">
        <w:t xml:space="preserve">Appendix D </w:t>
      </w:r>
      <w:r>
        <w:t>provides further detail on how rock types have been grouped into rock categories for this purpose.</w:t>
      </w:r>
    </w:p>
    <w:p w:rsidR="008837A4" w:rsidRDefault="008837A4" w:rsidP="008837A4">
      <w:pPr>
        <w:pStyle w:val="Minorheading3"/>
      </w:pPr>
      <w:r>
        <w:t>Rationale for the triggers</w:t>
      </w:r>
    </w:p>
    <w:p w:rsidR="008837A4" w:rsidRDefault="008837A4" w:rsidP="008837A4">
      <w:pPr>
        <w:pStyle w:val="PwCNormal"/>
      </w:pPr>
      <w:r>
        <w:t xml:space="preserve">The confidentiality triggers were tested and confirmed with DEDJTR and the Taskforce as being the most appropriate mechanisms for aggregation to protect survey respondent confidentiality while also allowing for meaningful presentation of the study’s results. </w:t>
      </w:r>
    </w:p>
    <w:p w:rsidR="008837A4" w:rsidRDefault="008837A4" w:rsidP="008837A4">
      <w:pPr>
        <w:pStyle w:val="PwCNormal"/>
      </w:pPr>
      <w:r>
        <w:t xml:space="preserve">The regional aggregation triggers were seen to offer a strong mechanism to preserve confidentiality while also providing sufficient spatial granularity as to be meaningful for policy consideration purposes. Aggregation by </w:t>
      </w:r>
      <w:r w:rsidR="00BA20CD">
        <w:t xml:space="preserve">rock </w:t>
      </w:r>
      <w:r>
        <w:t xml:space="preserve">type was suggested as a potential alternative to regional aggregation in situations where spatial aggregation could result in significant loss of fidelity, as it allows for preservation of relatively small geospatial reporting areas. </w:t>
      </w:r>
    </w:p>
    <w:p w:rsidR="008837A4" w:rsidRDefault="008837A4" w:rsidP="008837A4">
      <w:pPr>
        <w:pStyle w:val="Minorheading3"/>
      </w:pPr>
      <w:r>
        <w:t>Implications for reporting of results</w:t>
      </w:r>
    </w:p>
    <w:p w:rsidR="008837A4" w:rsidRDefault="008837A4" w:rsidP="008837A4">
      <w:pPr>
        <w:pStyle w:val="PwCNormal"/>
      </w:pPr>
      <w:r>
        <w:t>While the analysis occurs at the level of each individual work authority and resource, application of these triggers means that reporting of strategic resources and resource locations generally occurs at the LGA level or higher. In some cases, resource ‘categories’ are presented instead of individual resources. Similarly, the broader results presented in this report are aggregated spatially or otherwise in many cases.</w:t>
      </w:r>
    </w:p>
    <w:p w:rsidR="00200EF1" w:rsidRDefault="00200EF1">
      <w:pPr>
        <w:pStyle w:val="PwCNormal"/>
      </w:pPr>
    </w:p>
    <w:p w:rsidR="009D2E45" w:rsidRDefault="009D2E45">
      <w:pPr>
        <w:pStyle w:val="PwCNormal"/>
        <w:sectPr w:rsidR="009D2E45" w:rsidSect="00D311A7">
          <w:headerReference w:type="even" r:id="rId89"/>
          <w:headerReference w:type="default" r:id="rId90"/>
          <w:headerReference w:type="first" r:id="rId91"/>
          <w:pgSz w:w="11907" w:h="16840" w:code="9"/>
          <w:pgMar w:top="1588" w:right="1843" w:bottom="1418" w:left="1843" w:header="567" w:footer="567" w:gutter="0"/>
          <w:cols w:space="227"/>
          <w:titlePg/>
          <w:docGrid w:linePitch="360"/>
        </w:sectPr>
      </w:pPr>
    </w:p>
    <w:p w:rsidR="00546EA3" w:rsidRDefault="00722E0C" w:rsidP="006916CE">
      <w:pPr>
        <w:pStyle w:val="Minorheading2"/>
      </w:pPr>
      <w:r w:rsidRPr="00722E0C">
        <w:t xml:space="preserve"> </w:t>
      </w:r>
      <w:r w:rsidR="00546EA3">
        <w:t xml:space="preserve">Figure </w:t>
      </w:r>
      <w:fldSimple w:instr=" SEQ Figure \* ARABIC ">
        <w:r w:rsidR="00E22E13">
          <w:rPr>
            <w:noProof/>
          </w:rPr>
          <w:t>48</w:t>
        </w:r>
      </w:fldSimple>
      <w:r w:rsidR="00546EA3">
        <w:t>: Overview of the confidentiality triggers</w:t>
      </w:r>
    </w:p>
    <w:p w:rsidR="00200EF1" w:rsidRDefault="00D311A7" w:rsidP="006916CE">
      <w:pPr>
        <w:pStyle w:val="Sources"/>
      </w:pPr>
      <w:r w:rsidRPr="00D311A7">
        <w:rPr>
          <w:noProof/>
          <w:lang w:eastAsia="en-AU"/>
        </w:rPr>
        <w:drawing>
          <wp:inline distT="0" distB="0" distL="0" distR="0" wp14:anchorId="77D1AA0C" wp14:editId="41757BC1">
            <wp:extent cx="8354060" cy="4420870"/>
            <wp:effectExtent l="0" t="0" r="8890" b="0"/>
            <wp:docPr id="687" name="Picture 687" descr="Figure 48 is a flow chart showing confidentiality triggers. It shows triggers from the PwC, DEDJTR and Extractive Industries Taskforce ends."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354060" cy="4420870"/>
                    </a:xfrm>
                    <a:prstGeom prst="rect">
                      <a:avLst/>
                    </a:prstGeom>
                    <a:noFill/>
                    <a:ln>
                      <a:noFill/>
                    </a:ln>
                  </pic:spPr>
                </pic:pic>
              </a:graphicData>
            </a:graphic>
          </wp:inline>
        </w:drawing>
      </w:r>
      <w:r w:rsidR="00546EA3">
        <w:br/>
        <w:t xml:space="preserve">Source: PwC </w:t>
      </w:r>
    </w:p>
    <w:p w:rsidR="00737A6C" w:rsidRPr="00737A6C" w:rsidRDefault="00737A6C" w:rsidP="0089081A">
      <w:pPr>
        <w:pStyle w:val="PwCNormal"/>
        <w:sectPr w:rsidR="00737A6C" w:rsidRPr="00737A6C" w:rsidSect="001A7D05">
          <w:pgSz w:w="16840" w:h="11907" w:orient="landscape" w:code="9"/>
          <w:pgMar w:top="1843" w:right="1588" w:bottom="1843" w:left="1418" w:header="567" w:footer="567" w:gutter="0"/>
          <w:cols w:space="227"/>
          <w:titlePg/>
          <w:docGrid w:linePitch="360"/>
        </w:sectPr>
      </w:pPr>
    </w:p>
    <w:p w:rsidR="004174AE" w:rsidRPr="00546EA3" w:rsidRDefault="00546EA3" w:rsidP="006916CE">
      <w:pPr>
        <w:pStyle w:val="Heading4"/>
        <w:numPr>
          <w:ilvl w:val="4"/>
          <w:numId w:val="69"/>
        </w:numPr>
      </w:pPr>
      <w:bookmarkStart w:id="351" w:name="_Toc447628750"/>
      <w:bookmarkStart w:id="352" w:name="_Toc447630220"/>
      <w:bookmarkStart w:id="353" w:name="_Toc448153187"/>
      <w:bookmarkStart w:id="354" w:name="_Toc448917121"/>
      <w:bookmarkStart w:id="355" w:name="_Toc445906123"/>
      <w:bookmarkStart w:id="356" w:name="_Ref445906148"/>
      <w:bookmarkStart w:id="357" w:name="_Toc445973767"/>
      <w:r w:rsidRPr="00E76291">
        <w:br/>
      </w:r>
      <w:bookmarkStart w:id="358" w:name="_Toc448924828"/>
      <w:bookmarkStart w:id="359" w:name="_Toc448925133"/>
      <w:bookmarkStart w:id="360" w:name="_Toc448935472"/>
      <w:bookmarkStart w:id="361" w:name="_Toc448936091"/>
      <w:bookmarkStart w:id="362" w:name="_Toc449603860"/>
      <w:bookmarkStart w:id="363" w:name="_Toc449603926"/>
      <w:bookmarkStart w:id="364" w:name="_Toc449949935"/>
      <w:bookmarkStart w:id="365" w:name="_Toc449960261"/>
      <w:bookmarkStart w:id="366" w:name="_Toc451239539"/>
      <w:bookmarkStart w:id="367" w:name="_Toc451239545"/>
      <w:r w:rsidR="004174AE" w:rsidRPr="00546EA3">
        <w:t>Assumptions</w:t>
      </w:r>
      <w:bookmarkEnd w:id="351"/>
      <w:bookmarkEnd w:id="352"/>
      <w:bookmarkEnd w:id="353"/>
      <w:bookmarkEnd w:id="354"/>
      <w:bookmarkEnd w:id="358"/>
      <w:bookmarkEnd w:id="359"/>
      <w:bookmarkEnd w:id="360"/>
      <w:bookmarkEnd w:id="361"/>
      <w:bookmarkEnd w:id="362"/>
      <w:bookmarkEnd w:id="363"/>
      <w:bookmarkEnd w:id="364"/>
      <w:bookmarkEnd w:id="365"/>
      <w:bookmarkEnd w:id="366"/>
      <w:bookmarkEnd w:id="367"/>
      <w:r w:rsidR="004174AE" w:rsidRPr="00546EA3">
        <w:t xml:space="preserve"> </w:t>
      </w:r>
      <w:bookmarkEnd w:id="355"/>
      <w:bookmarkEnd w:id="356"/>
      <w:bookmarkEnd w:id="357"/>
    </w:p>
    <w:p w:rsidR="00200EF1" w:rsidRDefault="006F5B7F" w:rsidP="0089081A">
      <w:pPr>
        <w:pStyle w:val="Minorheading"/>
      </w:pPr>
      <w:r w:rsidRPr="0089081A">
        <w:rPr>
          <w:rFonts w:ascii="Georgia" w:hAnsi="Georgia"/>
          <w:b/>
          <w:sz w:val="36"/>
        </w:rPr>
        <w:t>Rock type categorisation</w:t>
      </w:r>
    </w:p>
    <w:p w:rsidR="006F5B7F" w:rsidRDefault="006F5B7F" w:rsidP="0089081A">
      <w:pPr>
        <w:pStyle w:val="PwCNormal"/>
      </w:pPr>
      <w:r>
        <w:t xml:space="preserve">The analysis has assessed the supply and demand for 18 separate rock types. These rock types correspond to those listed in Schedule 2 to the </w:t>
      </w:r>
      <w:r w:rsidRPr="0089081A">
        <w:rPr>
          <w:i/>
        </w:rPr>
        <w:t>Mineral Resources (Sustainable Development) (Extractive Industries) Regulations 2010</w:t>
      </w:r>
      <w:r>
        <w:t xml:space="preserve">. The rock types considered were agreed with DEDJTR on commencement of the study. </w:t>
      </w:r>
    </w:p>
    <w:p w:rsidR="006F5B7F" w:rsidRDefault="00234418" w:rsidP="0089081A">
      <w:pPr>
        <w:pStyle w:val="PwCNormal"/>
      </w:pPr>
      <w:r>
        <w:t>Due to the high number of resources considered in the analysis, s</w:t>
      </w:r>
      <w:r w:rsidR="006F5B7F">
        <w:t>everal rock types were grouped together</w:t>
      </w:r>
      <w:r w:rsidR="006F5B7F" w:rsidRPr="006F5B7F">
        <w:t xml:space="preserve"> </w:t>
      </w:r>
      <w:r>
        <w:t xml:space="preserve">under a common category </w:t>
      </w:r>
      <w:r w:rsidR="006F5B7F">
        <w:t>for reporting purposes</w:t>
      </w:r>
      <w:r>
        <w:t xml:space="preserve">. This relates primary to resources considered within the industry as ‘hard rock’. The basis for this grouping was agreed with DEDJTR and based on the advice of industry experts. </w:t>
      </w:r>
    </w:p>
    <w:p w:rsidR="00234418" w:rsidRDefault="00234418" w:rsidP="0089081A">
      <w:pPr>
        <w:pStyle w:val="PwCNormal"/>
      </w:pPr>
      <w:r>
        <w:t xml:space="preserve">The 18 resources considered in the analysis and their associated resource categories are described in </w:t>
      </w:r>
      <w:r>
        <w:fldChar w:fldCharType="begin"/>
      </w:r>
      <w:r>
        <w:instrText xml:space="preserve"> REF _Ref445640509 \h </w:instrText>
      </w:r>
      <w:r>
        <w:fldChar w:fldCharType="separate"/>
      </w:r>
      <w:r w:rsidR="00E22E13">
        <w:t xml:space="preserve">Table </w:t>
      </w:r>
      <w:r w:rsidR="00E22E13">
        <w:rPr>
          <w:noProof/>
        </w:rPr>
        <w:t>28</w:t>
      </w:r>
      <w:r>
        <w:fldChar w:fldCharType="end"/>
      </w:r>
      <w:r>
        <w:t xml:space="preserve"> below.</w:t>
      </w:r>
    </w:p>
    <w:p w:rsidR="00234418" w:rsidRDefault="00234418" w:rsidP="0089081A">
      <w:pPr>
        <w:pStyle w:val="Caption"/>
      </w:pPr>
      <w:bookmarkStart w:id="368" w:name="_Ref445640509"/>
      <w:r>
        <w:t xml:space="preserve">Table </w:t>
      </w:r>
      <w:fldSimple w:instr=" SEQ Table \* ARABIC ">
        <w:r w:rsidR="00E22E13">
          <w:rPr>
            <w:noProof/>
          </w:rPr>
          <w:t>28</w:t>
        </w:r>
      </w:fldSimple>
      <w:bookmarkEnd w:id="368"/>
      <w:r>
        <w:t>: Rock type mapping to resource categories</w:t>
      </w:r>
      <w:r w:rsidR="00A46831">
        <w:t>*</w:t>
      </w:r>
    </w:p>
    <w:tbl>
      <w:tblPr>
        <w:tblStyle w:val="Tables-APBase"/>
        <w:tblW w:w="5000" w:type="pct"/>
        <w:tblLayout w:type="fixed"/>
        <w:tblLook w:val="04A0" w:firstRow="1" w:lastRow="0" w:firstColumn="1" w:lastColumn="0" w:noHBand="0" w:noVBand="1"/>
        <w:tblCaption w:val="Table 28"/>
        <w:tblDescription w:val="Table 28 shows the rock type mapping to resource categories. The following rock types are considered hard rock: basalt old, basalt new, trachyte, dolerite, granite (incl. granodiorite, porphyry, microgranites), rhyodacite (incl. dacite, rhyolite), scoria, tuff, gneiss, hornfels, marble, quartzite, schist, slate, sedimentary (usually rippable rocks incl. sandstone, shale, siltstone chert, mudstone, claystone). It is noted that s oil and peat were not considered in the analysis despite being considered extractive resources."/>
      </w:tblPr>
      <w:tblGrid>
        <w:gridCol w:w="4218"/>
        <w:gridCol w:w="4219"/>
      </w:tblGrid>
      <w:tr w:rsidR="00234418" w:rsidTr="0089081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18" w:type="dxa"/>
          </w:tcPr>
          <w:p w:rsidR="00234418" w:rsidRDefault="00234418" w:rsidP="0089081A">
            <w:pPr>
              <w:pStyle w:val="TableColumnHeadingSmall"/>
            </w:pPr>
            <w:r w:rsidRPr="008D0BEE">
              <w:t>Rock/resource type</w:t>
            </w:r>
          </w:p>
        </w:tc>
        <w:tc>
          <w:tcPr>
            <w:tcW w:w="4219" w:type="dxa"/>
            <w:vAlign w:val="center"/>
          </w:tcPr>
          <w:p w:rsidR="00234418" w:rsidRDefault="00234418" w:rsidP="0089081A">
            <w:pPr>
              <w:pStyle w:val="TableColumnHeadingSmall"/>
              <w:jc w:val="right"/>
              <w:cnfStyle w:val="100000000000" w:firstRow="1" w:lastRow="0" w:firstColumn="0" w:lastColumn="0" w:oddVBand="0" w:evenVBand="0" w:oddHBand="0" w:evenHBand="0" w:firstRowFirstColumn="0" w:firstRowLastColumn="0" w:lastRowFirstColumn="0" w:lastRowLastColumn="0"/>
            </w:pPr>
            <w:r w:rsidRPr="008D0BEE">
              <w:t>Resource category</w:t>
            </w:r>
          </w:p>
        </w:tc>
      </w:tr>
      <w:tr w:rsidR="00234418" w:rsidTr="0089081A">
        <w:tc>
          <w:tcPr>
            <w:tcW w:w="4218" w:type="dxa"/>
          </w:tcPr>
          <w:p w:rsidR="00234418" w:rsidRDefault="00234418" w:rsidP="0089081A">
            <w:pPr>
              <w:pStyle w:val="TableTextSmall"/>
            </w:pPr>
            <w:r w:rsidRPr="003E706B">
              <w:t>Basalt Old</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Basalt New</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Trachyte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Dolerite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Granite (Incl. Granodiorite, Porphyry, Microgranites)</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Rhyodacite (Incl. Dacite, Rhyolite)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Scoria</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Tuff</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Gneiss</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Hornfels</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Marble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Quartzite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Schist</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Slate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Sedimentary (Usually Rippable Rocks Incl. Sandstone, Shale, Siltstone Chert, Mudstone, Claystone)</w:t>
            </w:r>
          </w:p>
        </w:tc>
        <w:tc>
          <w:tcPr>
            <w:tcW w:w="4219" w:type="dxa"/>
            <w:vAlign w:val="center"/>
          </w:tcPr>
          <w:p w:rsidR="00234418" w:rsidRDefault="00234418" w:rsidP="0089081A">
            <w:pPr>
              <w:pStyle w:val="TableTextSmall"/>
              <w:jc w:val="right"/>
            </w:pPr>
            <w:r w:rsidRPr="003E706B">
              <w:t>Hard rock</w:t>
            </w:r>
          </w:p>
        </w:tc>
      </w:tr>
      <w:tr w:rsidR="00234418" w:rsidTr="0089081A">
        <w:tc>
          <w:tcPr>
            <w:tcW w:w="4218" w:type="dxa"/>
          </w:tcPr>
          <w:p w:rsidR="00234418" w:rsidRDefault="00234418" w:rsidP="0089081A">
            <w:pPr>
              <w:pStyle w:val="TableTextSmall"/>
            </w:pPr>
            <w:r w:rsidRPr="003E706B">
              <w:t>Clay And Clay Shale</w:t>
            </w:r>
          </w:p>
        </w:tc>
        <w:tc>
          <w:tcPr>
            <w:tcW w:w="4219" w:type="dxa"/>
            <w:vAlign w:val="center"/>
          </w:tcPr>
          <w:p w:rsidR="00234418" w:rsidRDefault="00234418" w:rsidP="0089081A">
            <w:pPr>
              <w:pStyle w:val="TableTextSmall"/>
              <w:jc w:val="right"/>
            </w:pPr>
            <w:r w:rsidRPr="003E706B">
              <w:t>Clay and clay shale</w:t>
            </w:r>
          </w:p>
        </w:tc>
      </w:tr>
      <w:tr w:rsidR="00234418" w:rsidTr="0089081A">
        <w:tc>
          <w:tcPr>
            <w:tcW w:w="4218" w:type="dxa"/>
          </w:tcPr>
          <w:p w:rsidR="00234418" w:rsidRDefault="00234418" w:rsidP="0089081A">
            <w:pPr>
              <w:pStyle w:val="TableTextSmall"/>
            </w:pPr>
            <w:r w:rsidRPr="003E706B">
              <w:t>Sand And Gravel</w:t>
            </w:r>
          </w:p>
        </w:tc>
        <w:tc>
          <w:tcPr>
            <w:tcW w:w="4219" w:type="dxa"/>
            <w:vAlign w:val="center"/>
          </w:tcPr>
          <w:p w:rsidR="00234418" w:rsidRDefault="00234418" w:rsidP="0089081A">
            <w:pPr>
              <w:pStyle w:val="TableTextSmall"/>
              <w:jc w:val="right"/>
            </w:pPr>
            <w:r w:rsidRPr="003E706B">
              <w:t>Sand and gravel</w:t>
            </w:r>
          </w:p>
        </w:tc>
      </w:tr>
      <w:tr w:rsidR="00234418" w:rsidTr="0089081A">
        <w:tc>
          <w:tcPr>
            <w:tcW w:w="4218" w:type="dxa"/>
          </w:tcPr>
          <w:p w:rsidR="00234418" w:rsidRDefault="00234418" w:rsidP="0089081A">
            <w:pPr>
              <w:pStyle w:val="TableTextSmall"/>
            </w:pPr>
            <w:r w:rsidRPr="003E706B">
              <w:t>Limestone</w:t>
            </w:r>
          </w:p>
        </w:tc>
        <w:tc>
          <w:tcPr>
            <w:tcW w:w="4219" w:type="dxa"/>
            <w:vAlign w:val="center"/>
          </w:tcPr>
          <w:p w:rsidR="00234418" w:rsidRDefault="00234418" w:rsidP="0089081A">
            <w:pPr>
              <w:pStyle w:val="TableTextSmall"/>
              <w:jc w:val="right"/>
            </w:pPr>
            <w:r w:rsidRPr="003E706B">
              <w:t>Limestone</w:t>
            </w:r>
          </w:p>
        </w:tc>
      </w:tr>
    </w:tbl>
    <w:p w:rsidR="00234418" w:rsidRPr="00234418" w:rsidRDefault="00234418" w:rsidP="0089081A">
      <w:pPr>
        <w:pStyle w:val="Sources"/>
      </w:pPr>
      <w:r>
        <w:t xml:space="preserve">Source: PwC, DEDJTR. </w:t>
      </w:r>
      <w:r w:rsidR="00A46831">
        <w:t>*Soil and peat were not considered in the analysis despite being considered extractive resources.</w:t>
      </w:r>
    </w:p>
    <w:p w:rsidR="00200EF1" w:rsidRPr="0089081A" w:rsidRDefault="00E953CF" w:rsidP="0089081A">
      <w:pPr>
        <w:pStyle w:val="Minorheading"/>
        <w:rPr>
          <w:b/>
          <w:sz w:val="36"/>
        </w:rPr>
      </w:pPr>
      <w:r w:rsidRPr="0089081A">
        <w:rPr>
          <w:rFonts w:ascii="Georgia" w:hAnsi="Georgia"/>
          <w:b/>
          <w:sz w:val="36"/>
        </w:rPr>
        <w:t>Missing data items</w:t>
      </w:r>
    </w:p>
    <w:p w:rsidR="004174AE" w:rsidRDefault="004174AE" w:rsidP="004174AE">
      <w:pPr>
        <w:pStyle w:val="PwCNormal"/>
      </w:pPr>
      <w:r>
        <w:t>Due to missing and incomplete survey responses, methods were developed to attribute assumed production and deposit values for some existing WAs. These methods leveraged DEDJTR records in combination with available survey data to appropriately account for missing information. The assumptions applied in this regard are detailed below.</w:t>
      </w:r>
    </w:p>
    <w:p w:rsidR="004174AE" w:rsidRDefault="004174AE" w:rsidP="004174AE">
      <w:pPr>
        <w:pStyle w:val="Minorheading3"/>
      </w:pPr>
      <w:r>
        <w:t>Missing production rate data</w:t>
      </w:r>
    </w:p>
    <w:p w:rsidR="004174AE" w:rsidRDefault="004174AE" w:rsidP="004174AE">
      <w:pPr>
        <w:pStyle w:val="PwCNormal"/>
      </w:pPr>
      <w:r>
        <w:t xml:space="preserve">The DEDJTR database of Victorian WAs provided to PwC contained 2013-14 production rate data for each Victorian WA. These values assumed to be relevant for 2014-15 production for WAs where survey data was missing or incomplete. </w:t>
      </w:r>
    </w:p>
    <w:p w:rsidR="004174AE" w:rsidRDefault="004174AE" w:rsidP="004174AE">
      <w:pPr>
        <w:pStyle w:val="PwCNormal"/>
      </w:pPr>
      <w:r>
        <w:t>For indicated future WA applications where planned production rate information was not available, the attributable production rate was assumed to be 1/50 of the provided deposit. This ratio was applied based on the levels seen among other survey respondents in terms of deposit sizes and production rates.</w:t>
      </w:r>
    </w:p>
    <w:p w:rsidR="004174AE" w:rsidRDefault="004174AE" w:rsidP="004174AE">
      <w:pPr>
        <w:pStyle w:val="PwCNormal"/>
      </w:pPr>
      <w:r>
        <w:t>It is noted that in both of the above cases, the production rate values were not necessarily applied for 2014-15 or later production but rather provided a guide as to the productive capacity of the WAs.</w:t>
      </w:r>
    </w:p>
    <w:p w:rsidR="004174AE" w:rsidRDefault="004174AE" w:rsidP="004174AE">
      <w:pPr>
        <w:pStyle w:val="Minorheading3"/>
      </w:pPr>
      <w:r>
        <w:t>Missing WA resource deposit values</w:t>
      </w:r>
    </w:p>
    <w:p w:rsidR="004174AE" w:rsidRDefault="004174AE" w:rsidP="004174AE">
      <w:pPr>
        <w:pStyle w:val="PwCNormal"/>
      </w:pPr>
      <w:r>
        <w:t>For WAs where no deposit size information was provided in the survey, deposit tonnages were calculated as follows:</w:t>
      </w:r>
    </w:p>
    <w:p w:rsidR="004174AE" w:rsidRDefault="004174AE" w:rsidP="004174AE">
      <w:pPr>
        <w:pStyle w:val="PwCNormal"/>
        <w:numPr>
          <w:ilvl w:val="0"/>
          <w:numId w:val="39"/>
        </w:numPr>
      </w:pPr>
      <w:r>
        <w:t xml:space="preserve">The average time to depletion (in years) was calculated for each rock type considered, based on available survey information for other Victorian WAs of that rock type. </w:t>
      </w:r>
    </w:p>
    <w:p w:rsidR="004174AE" w:rsidRDefault="004174AE" w:rsidP="004174AE">
      <w:pPr>
        <w:pStyle w:val="PwCNormal"/>
        <w:numPr>
          <w:ilvl w:val="0"/>
          <w:numId w:val="39"/>
        </w:numPr>
      </w:pPr>
      <w:r>
        <w:t xml:space="preserve">This average was then multiplied by the known current or historical production rate for each WA for which deposit information was missing, </w:t>
      </w:r>
      <w:r w:rsidR="00E75E55">
        <w:t>for each applicable</w:t>
      </w:r>
      <w:r>
        <w:t xml:space="preserve"> rock type. The calculation resulted in a unique deposit size for each of these WAs that accounted for differences in </w:t>
      </w:r>
      <w:r w:rsidR="00E75E55">
        <w:t>rock typ</w:t>
      </w:r>
      <w:r>
        <w:t xml:space="preserve">e and WA size and capacity (as measured by the current or historical production rate). </w:t>
      </w:r>
    </w:p>
    <w:p w:rsidR="004174AE" w:rsidRDefault="004174AE" w:rsidP="004174AE">
      <w:pPr>
        <w:pStyle w:val="PwCNormal"/>
      </w:pPr>
      <w:r>
        <w:t>These assumptions and calculations were then validated against similar quarries where deposit sizes were known, which found that appropriate values had been developed using the approach.</w:t>
      </w:r>
    </w:p>
    <w:p w:rsidR="004174AE" w:rsidRDefault="004174AE" w:rsidP="004174AE">
      <w:pPr>
        <w:pStyle w:val="PwCNormal"/>
      </w:pPr>
      <w:r>
        <w:t xml:space="preserve">The results were also tested to determine whether deposit sizes could differ by respondent type – that is, whether large-scale producers typically held larger or smaller deposits than small-scale producers. The results of this test illustrated that no such relationship existed and that the approach resulted in attributed deposit sizes that were broadly in line with known deposits, for those resources. </w:t>
      </w:r>
    </w:p>
    <w:p w:rsidR="004174AE" w:rsidRDefault="004174AE" w:rsidP="004174AE">
      <w:pPr>
        <w:pStyle w:val="PwCNormal"/>
      </w:pPr>
      <w:r>
        <w:t xml:space="preserve">WAs </w:t>
      </w:r>
      <w:r w:rsidR="00C12AF3">
        <w:t xml:space="preserve">that were </w:t>
      </w:r>
      <w:r>
        <w:t>missing both production rate and deposit information from the industry survey and the DEDJTR WA database were not included in the analysis.</w:t>
      </w:r>
    </w:p>
    <w:p w:rsidR="004174AE" w:rsidRDefault="004174AE" w:rsidP="004174AE">
      <w:pPr>
        <w:pStyle w:val="Minorheading3"/>
      </w:pPr>
      <w:r>
        <w:t>Missing rock type information</w:t>
      </w:r>
    </w:p>
    <w:p w:rsidR="004174AE" w:rsidRDefault="004174AE" w:rsidP="004174AE">
      <w:pPr>
        <w:pStyle w:val="PwCNormal"/>
      </w:pPr>
      <w:r>
        <w:t>For WAs where no rock type information was provided in the survey, the DEDJTR database reported rock type was assumed. WAs missing both survey and DEDJTR rock type information were excluded from the analysis.</w:t>
      </w:r>
    </w:p>
    <w:p w:rsidR="004174AE" w:rsidRDefault="004174AE" w:rsidP="004174AE">
      <w:pPr>
        <w:pStyle w:val="PwCNormal"/>
      </w:pPr>
      <w:r>
        <w:t>For some quartzite</w:t>
      </w:r>
      <w:r w:rsidR="00C12AF3">
        <w:t xml:space="preserve"> WA holders</w:t>
      </w:r>
      <w:r>
        <w:t>, no deposit</w:t>
      </w:r>
      <w:r w:rsidR="00C12AF3">
        <w:t xml:space="preserve"> </w:t>
      </w:r>
      <w:r>
        <w:t xml:space="preserve">sizes were indicated in the industry survey. In order to generate deposit values for WAs producing quartzite, known production data were interacted with an assumed quarry life of 20 years to attribute a deposit value. </w:t>
      </w:r>
    </w:p>
    <w:p w:rsidR="004174AE" w:rsidRDefault="004174AE" w:rsidP="004174AE">
      <w:pPr>
        <w:pStyle w:val="Minorheading3"/>
      </w:pPr>
      <w:r>
        <w:t>Missing locational information</w:t>
      </w:r>
    </w:p>
    <w:p w:rsidR="004174AE" w:rsidRDefault="004174AE" w:rsidP="004174AE">
      <w:pPr>
        <w:pStyle w:val="PwCNormal"/>
      </w:pPr>
      <w:r>
        <w:t>For some future WA applications indicated in the industry survey, limited locational information was provided. In these instances, the WA was assumed to be positioned at the centr</w:t>
      </w:r>
      <w:r w:rsidR="00C12AF3">
        <w:t>e</w:t>
      </w:r>
      <w:r>
        <w:t xml:space="preserve"> of the LGA</w:t>
      </w:r>
      <w:r w:rsidR="00C12AF3">
        <w:t xml:space="preserve"> (also known as the ‘LGA centroid’)</w:t>
      </w:r>
      <w:r>
        <w:t>.</w:t>
      </w:r>
    </w:p>
    <w:p w:rsidR="008751A2" w:rsidRPr="0089081A" w:rsidRDefault="008751A2" w:rsidP="0089081A">
      <w:pPr>
        <w:pStyle w:val="Minorheading"/>
        <w:rPr>
          <w:b/>
          <w:sz w:val="36"/>
        </w:rPr>
      </w:pPr>
      <w:r w:rsidRPr="0089081A">
        <w:rPr>
          <w:rFonts w:ascii="Georgia" w:hAnsi="Georgia"/>
          <w:b/>
          <w:sz w:val="36"/>
        </w:rPr>
        <w:t>WA production and capacity</w:t>
      </w:r>
    </w:p>
    <w:p w:rsidR="008751A2" w:rsidRDefault="008751A2" w:rsidP="0089081A">
      <w:pPr>
        <w:pStyle w:val="Minorheading3"/>
      </w:pPr>
      <w:r>
        <w:t>Production is relatively scalable to meet demand</w:t>
      </w:r>
    </w:p>
    <w:p w:rsidR="008751A2" w:rsidRDefault="008751A2">
      <w:pPr>
        <w:pStyle w:val="PwCNormal"/>
      </w:pPr>
      <w:r>
        <w:t>T</w:t>
      </w:r>
      <w:r w:rsidRPr="008751A2">
        <w:t xml:space="preserve">he model considers </w:t>
      </w:r>
      <w:r>
        <w:t xml:space="preserve">current or recent </w:t>
      </w:r>
      <w:r w:rsidRPr="008751A2">
        <w:t>production rates when attributing output levels to individual WAs, though historical production does not necessarily limit future production.</w:t>
      </w:r>
      <w:r>
        <w:t xml:space="preserve"> Instead, production is assumed to be relatively scalable to meet the level of demand. </w:t>
      </w:r>
    </w:p>
    <w:p w:rsidR="008751A2" w:rsidRPr="008837A4" w:rsidRDefault="004638AE">
      <w:pPr>
        <w:pStyle w:val="PwCNormal"/>
      </w:pPr>
      <w:r>
        <w:t>The analysis has</w:t>
      </w:r>
      <w:r w:rsidR="008751A2" w:rsidRPr="008751A2">
        <w:t xml:space="preserve"> given some consideration to the implications of this assumption by calculating the percentage increase in production between 2013-14 levels (</w:t>
      </w:r>
      <w:r w:rsidR="00C12AF3">
        <w:t xml:space="preserve">sourced from </w:t>
      </w:r>
      <w:r w:rsidR="008751A2" w:rsidRPr="008751A2">
        <w:t>DEDJTR) and modelled levels for FY1</w:t>
      </w:r>
      <w:r w:rsidR="008751A2">
        <w:t xml:space="preserve">5. These increases were found to be within reasonable bounds. </w:t>
      </w:r>
    </w:p>
    <w:p w:rsidR="004174AE" w:rsidRPr="00E953CF" w:rsidRDefault="000D4999" w:rsidP="0089081A">
      <w:pPr>
        <w:pStyle w:val="Minorheading3"/>
      </w:pPr>
      <w:r>
        <w:t>Factors limiting production increases at WAs can generally be overcome</w:t>
      </w:r>
    </w:p>
    <w:p w:rsidR="000D4999" w:rsidRDefault="000D4999" w:rsidP="000D4999">
      <w:pPr>
        <w:pStyle w:val="PwCNormal"/>
      </w:pPr>
      <w:r>
        <w:t xml:space="preserve">It is acknowledged that some WA operators </w:t>
      </w:r>
      <w:r w:rsidR="00566849">
        <w:t xml:space="preserve">may </w:t>
      </w:r>
      <w:r>
        <w:t xml:space="preserve">face constraints in increasing their production levels. Survey respondents indicated that these constraints related to compliance requirements, road access issues or planning permits, </w:t>
      </w:r>
      <w:r w:rsidR="00500AFA">
        <w:t>among others</w:t>
      </w:r>
      <w:r>
        <w:t xml:space="preserve">. </w:t>
      </w:r>
    </w:p>
    <w:p w:rsidR="000D4999" w:rsidRDefault="000D4999" w:rsidP="000D4999">
      <w:pPr>
        <w:pStyle w:val="PwCNormal"/>
      </w:pPr>
      <w:r>
        <w:t xml:space="preserve">Many </w:t>
      </w:r>
      <w:r w:rsidR="00500AFA">
        <w:t xml:space="preserve">respondents </w:t>
      </w:r>
      <w:r>
        <w:t xml:space="preserve">however indicated that the prices received for product simply were not high enough to support increasing production. This suggests that for </w:t>
      </w:r>
      <w:r w:rsidR="00500AFA">
        <w:t>many</w:t>
      </w:r>
      <w:r>
        <w:t xml:space="preserve"> operators, production can be increased where the level of demand is sufficient to support </w:t>
      </w:r>
      <w:r w:rsidR="00500AFA">
        <w:t xml:space="preserve">adequate </w:t>
      </w:r>
      <w:r>
        <w:t>resource prices</w:t>
      </w:r>
      <w:r w:rsidR="00C76964">
        <w:t xml:space="preserve"> being paid</w:t>
      </w:r>
      <w:r>
        <w:t xml:space="preserve">. </w:t>
      </w:r>
    </w:p>
    <w:p w:rsidR="000D4999" w:rsidRDefault="000D4999" w:rsidP="000D4999">
      <w:pPr>
        <w:pStyle w:val="PwCNormal"/>
      </w:pPr>
      <w:r>
        <w:t>In relation to planning permits, it is noted that these can specify an expiration date for WAs or in some cases limit the volumes extracted from WAs. However as variations to planning permits are possible on request (subject to DEDJTR assessment</w:t>
      </w:r>
      <w:r w:rsidR="00BE0EF4">
        <w:t xml:space="preserve"> and council approval</w:t>
      </w:r>
      <w:r>
        <w:t xml:space="preserve">) and each permit is unique, the model has assumed that these arrangements are relatively flexible within the time horizon considered. </w:t>
      </w:r>
    </w:p>
    <w:p w:rsidR="000D4999" w:rsidRDefault="000D4999" w:rsidP="000D4999">
      <w:pPr>
        <w:pStyle w:val="PwCNormal"/>
      </w:pPr>
      <w:r>
        <w:t xml:space="preserve">For instance, </w:t>
      </w:r>
      <w:r w:rsidR="00500AFA">
        <w:t xml:space="preserve">while a planning permit may specify a WA’s expiration at 2025, an operator facing strong demand could consider a </w:t>
      </w:r>
      <w:r>
        <w:t>new WA or</w:t>
      </w:r>
      <w:r w:rsidR="00500AFA">
        <w:t xml:space="preserve"> applying for a variation</w:t>
      </w:r>
      <w:r>
        <w:t xml:space="preserve"> </w:t>
      </w:r>
      <w:r w:rsidR="00500AFA">
        <w:t xml:space="preserve">to the </w:t>
      </w:r>
      <w:r>
        <w:t>existing licence</w:t>
      </w:r>
      <w:r w:rsidR="00500AFA">
        <w:t xml:space="preserve"> in order to meet that demand. This could represent an increase in production as captured in the model. While this production could potentially be delivered from a new resource location, absent information </w:t>
      </w:r>
      <w:r w:rsidR="00C76964">
        <w:t xml:space="preserve">on the new location </w:t>
      </w:r>
      <w:r>
        <w:t>the model assumes that production continues from the same location.</w:t>
      </w:r>
      <w:r w:rsidR="00500AFA">
        <w:t xml:space="preserve"> </w:t>
      </w:r>
    </w:p>
    <w:p w:rsidR="000D4999" w:rsidRDefault="000D4999" w:rsidP="000D4999">
      <w:pPr>
        <w:pStyle w:val="PwCNormal"/>
      </w:pPr>
      <w:r>
        <w:t xml:space="preserve"> </w:t>
      </w:r>
    </w:p>
    <w:p w:rsidR="000D4999" w:rsidRDefault="000D4999" w:rsidP="00E953CF">
      <w:pPr>
        <w:pStyle w:val="PwCNormal"/>
        <w:sectPr w:rsidR="000D4999" w:rsidSect="00D311A7">
          <w:pgSz w:w="11907" w:h="16840" w:code="9"/>
          <w:pgMar w:top="1588" w:right="1843" w:bottom="1418" w:left="1843" w:header="567" w:footer="567" w:gutter="0"/>
          <w:cols w:space="227"/>
          <w:docGrid w:linePitch="360"/>
        </w:sectPr>
      </w:pPr>
    </w:p>
    <w:p w:rsidR="00E953CF" w:rsidRDefault="00E953CF" w:rsidP="006916CE">
      <w:pPr>
        <w:pStyle w:val="Heading4"/>
        <w:numPr>
          <w:ilvl w:val="4"/>
          <w:numId w:val="69"/>
        </w:numPr>
      </w:pPr>
      <w:bookmarkStart w:id="369" w:name="_Toc445905927"/>
      <w:bookmarkStart w:id="370" w:name="_Toc445906124"/>
      <w:bookmarkStart w:id="371" w:name="_Toc445973768"/>
      <w:bookmarkStart w:id="372" w:name="_Toc447628751"/>
      <w:bookmarkStart w:id="373" w:name="_Toc447630221"/>
      <w:bookmarkStart w:id="374" w:name="_Toc448153188"/>
      <w:bookmarkStart w:id="375" w:name="_Ref448241020"/>
      <w:bookmarkStart w:id="376" w:name="_Toc448917122"/>
      <w:bookmarkStart w:id="377" w:name="_Toc448925134"/>
      <w:bookmarkStart w:id="378" w:name="_Toc448935473"/>
      <w:bookmarkStart w:id="379" w:name="_Toc448936092"/>
      <w:bookmarkStart w:id="380" w:name="_Toc449603861"/>
      <w:bookmarkStart w:id="381" w:name="_Toc449603927"/>
      <w:bookmarkStart w:id="382" w:name="_Toc449949936"/>
      <w:bookmarkStart w:id="383" w:name="_Toc449960262"/>
      <w:bookmarkStart w:id="384" w:name="_Toc451239540"/>
      <w:bookmarkStart w:id="385" w:name="_Toc451239546"/>
      <w:r>
        <w:t xml:space="preserve">Detailed supply </w:t>
      </w:r>
      <w:r w:rsidR="00CC07FA">
        <w:t xml:space="preserve">study </w:t>
      </w:r>
      <w:r>
        <w:t>methodology</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C30D0" w:rsidRPr="009848B5" w:rsidRDefault="003C30D0" w:rsidP="0089081A">
      <w:pPr>
        <w:pStyle w:val="CVNamelarge"/>
      </w:pPr>
      <w:r w:rsidRPr="009848B5">
        <w:t>Industry engagement</w:t>
      </w:r>
      <w:r>
        <w:t xml:space="preserve"> – supply data collection</w:t>
      </w:r>
    </w:p>
    <w:p w:rsidR="003C30D0" w:rsidRDefault="003C30D0" w:rsidP="003C30D0">
      <w:pPr>
        <w:pStyle w:val="PwCNormal"/>
      </w:pPr>
      <w:r w:rsidRPr="003B361D">
        <w:t xml:space="preserve">To understand the supply of extractive resources, including </w:t>
      </w:r>
      <w:r w:rsidRPr="007303CA">
        <w:t>current state of play and proposed intentions and future needs</w:t>
      </w:r>
      <w:r w:rsidRPr="003B361D">
        <w:t>,</w:t>
      </w:r>
      <w:r>
        <w:t xml:space="preserve"> </w:t>
      </w:r>
      <w:r w:rsidRPr="00D35E37">
        <w:t>a three pronged approach (telephone/face to face interviews</w:t>
      </w:r>
      <w:r w:rsidR="00ED640B">
        <w:t xml:space="preserve">, emails and </w:t>
      </w:r>
      <w:r w:rsidR="00ED640B" w:rsidRPr="00D35E37">
        <w:t>posted letters</w:t>
      </w:r>
      <w:r w:rsidRPr="00D35E37">
        <w:t xml:space="preserve">) was undertaken to provide the industry with the </w:t>
      </w:r>
      <w:r>
        <w:t xml:space="preserve">opportunity </w:t>
      </w:r>
      <w:r w:rsidRPr="00D35E37">
        <w:t xml:space="preserve">to participate in an industry engagement questionnaire. </w:t>
      </w:r>
    </w:p>
    <w:p w:rsidR="003C30D0" w:rsidRPr="00D35E37" w:rsidRDefault="003C30D0" w:rsidP="003C30D0">
      <w:pPr>
        <w:pStyle w:val="PwCNormal"/>
      </w:pPr>
      <w:r w:rsidRPr="00D35E37">
        <w:t xml:space="preserve">We designed and launched an online survey, which was complemented with industry interviews and desk-based review of literature. The information we collected was used to </w:t>
      </w:r>
      <w:r>
        <w:t xml:space="preserve">model </w:t>
      </w:r>
      <w:r w:rsidRPr="00D35E37">
        <w:t>the future supply of extractive resources to 2050, including identification of areas that may be critical to future developments and infrastructure projects.</w:t>
      </w:r>
      <w:r w:rsidR="00CE2E61">
        <w:t xml:space="preserve"> </w:t>
      </w:r>
      <w:r w:rsidR="00CE2E61">
        <w:fldChar w:fldCharType="begin"/>
      </w:r>
      <w:r w:rsidR="00CE2E61">
        <w:instrText xml:space="preserve"> REF _Ref448935860 \h </w:instrText>
      </w:r>
      <w:r w:rsidR="00CE2E61">
        <w:fldChar w:fldCharType="separate"/>
      </w:r>
      <w:r w:rsidR="00E22E13">
        <w:t xml:space="preserve">Table </w:t>
      </w:r>
      <w:r w:rsidR="00E22E13">
        <w:rPr>
          <w:noProof/>
        </w:rPr>
        <w:t>29</w:t>
      </w:r>
      <w:r w:rsidR="00CE2E61">
        <w:fldChar w:fldCharType="end"/>
      </w:r>
      <w:r w:rsidR="00BE0EF4">
        <w:t xml:space="preserve"> i</w:t>
      </w:r>
      <w:r>
        <w:t xml:space="preserve">llustrates the delivery methods used to conduct the survey and the number of work authorities and production values for each survey type. </w:t>
      </w:r>
    </w:p>
    <w:p w:rsidR="00CE2E61" w:rsidRDefault="00CE2E61">
      <w:pPr>
        <w:pStyle w:val="Caption"/>
      </w:pPr>
      <w:bookmarkStart w:id="386" w:name="_Ref448935860"/>
      <w:r>
        <w:t xml:space="preserve">Table </w:t>
      </w:r>
      <w:fldSimple w:instr=" SEQ Table \* ARABIC ">
        <w:r w:rsidR="00E22E13">
          <w:rPr>
            <w:noProof/>
          </w:rPr>
          <w:t>29</w:t>
        </w:r>
      </w:fldSimple>
      <w:bookmarkEnd w:id="386"/>
      <w:r>
        <w:t>: The three-pronged approach: Split of WA holders by delivery method (interview, email, letter) for the industry survey</w:t>
      </w:r>
    </w:p>
    <w:p w:rsidR="003C30D0" w:rsidRDefault="00B1095A" w:rsidP="003C30D0">
      <w:pPr>
        <w:pStyle w:val="PwCNormal"/>
        <w:rPr>
          <w:highlight w:val="yellow"/>
        </w:rPr>
      </w:pPr>
      <w:r>
        <w:rPr>
          <w:noProof/>
          <w:snapToGrid/>
          <w:lang w:eastAsia="en-AU"/>
        </w:rPr>
        <w:drawing>
          <wp:inline distT="0" distB="0" distL="0" distR="0" wp14:anchorId="05A6E9F2" wp14:editId="6F6995B8">
            <wp:extent cx="5220335" cy="1237542"/>
            <wp:effectExtent l="0" t="0" r="0" b="1270"/>
            <wp:docPr id="15420" name="Picture 15420" descr="Table 29 shows the three-pronged approach: Split of WA holders by delivery method (interview, email, letter) for the industry survey.  It shows that stakeholders that represented 77% of production were interviewed, those that represented 15% of production were surveyed by email, and those that represented 8% of production were surveyed by letter." title="Tabl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0335" cy="1237542"/>
                    </a:xfrm>
                    <a:prstGeom prst="rect">
                      <a:avLst/>
                    </a:prstGeom>
                  </pic:spPr>
                </pic:pic>
              </a:graphicData>
            </a:graphic>
          </wp:inline>
        </w:drawing>
      </w:r>
    </w:p>
    <w:p w:rsidR="003C30D0" w:rsidRDefault="003C30D0" w:rsidP="003C30D0">
      <w:pPr>
        <w:pStyle w:val="PwCNormal"/>
        <w:rPr>
          <w:color w:val="A32020" w:themeColor="accent1"/>
          <w:sz w:val="16"/>
          <w:szCs w:val="16"/>
        </w:rPr>
      </w:pPr>
      <w:r w:rsidRPr="009848B5">
        <w:rPr>
          <w:color w:val="A32020" w:themeColor="accent1"/>
          <w:sz w:val="16"/>
          <w:szCs w:val="16"/>
        </w:rPr>
        <w:t xml:space="preserve">Source: </w:t>
      </w:r>
      <w:r w:rsidR="00BE0EF4">
        <w:rPr>
          <w:color w:val="A32020" w:themeColor="accent1"/>
          <w:sz w:val="16"/>
          <w:szCs w:val="16"/>
        </w:rPr>
        <w:t>DEDJTR, 2014</w:t>
      </w:r>
    </w:p>
    <w:p w:rsidR="003C30D0" w:rsidRPr="00095665" w:rsidRDefault="003C30D0" w:rsidP="003C30D0">
      <w:pPr>
        <w:pStyle w:val="Minorheading"/>
      </w:pPr>
      <w:r>
        <w:t>Data collection template</w:t>
      </w:r>
    </w:p>
    <w:p w:rsidR="003C30D0" w:rsidRDefault="003C30D0" w:rsidP="003C30D0">
      <w:pPr>
        <w:pStyle w:val="PwCNormal"/>
      </w:pPr>
      <w:r>
        <w:t xml:space="preserve">An industry </w:t>
      </w:r>
      <w:r w:rsidRPr="00095665">
        <w:t>survey</w:t>
      </w:r>
      <w:r>
        <w:t xml:space="preserve"> was developed to collect information from extractive industry participants in respect of their current and expected future operations. The survey was designed and tested in consultation with </w:t>
      </w:r>
      <w:r w:rsidR="008837A4">
        <w:t>DEDJTR</w:t>
      </w:r>
      <w:r>
        <w:t xml:space="preserve"> and Taskforce members</w:t>
      </w:r>
      <w:r w:rsidRPr="00001986">
        <w:t xml:space="preserve"> </w:t>
      </w:r>
      <w:r>
        <w:t>to ensure all necessary and relevant information was captured to inform this study.</w:t>
      </w:r>
    </w:p>
    <w:p w:rsidR="003C30D0" w:rsidRDefault="003C30D0" w:rsidP="003C30D0">
      <w:pPr>
        <w:pStyle w:val="PwCNormal"/>
      </w:pPr>
      <w:r>
        <w:t xml:space="preserve">Leveraging the questions and format contained in the web survey, an interview questionnaire was also prepared for use in face-to-face and telephone interviews with industry participants. </w:t>
      </w:r>
    </w:p>
    <w:p w:rsidR="003C30D0" w:rsidRDefault="003C30D0" w:rsidP="003C30D0">
      <w:pPr>
        <w:pStyle w:val="PwCNormal"/>
      </w:pPr>
      <w:r>
        <w:t xml:space="preserve">An overview of the survey’s content and format is provided </w:t>
      </w:r>
      <w:r w:rsidR="006D1965">
        <w:t>in the figure below.</w:t>
      </w:r>
      <w:r>
        <w:t xml:space="preserve"> </w:t>
      </w:r>
    </w:p>
    <w:p w:rsidR="003C30D0" w:rsidRDefault="003C30D0" w:rsidP="003C30D0">
      <w:pPr>
        <w:pStyle w:val="Caption"/>
      </w:pPr>
      <w:r>
        <w:t xml:space="preserve">Figure </w:t>
      </w:r>
      <w:fldSimple w:instr=" SEQ Figure \* ARABIC ">
        <w:r w:rsidR="00E22E13">
          <w:rPr>
            <w:noProof/>
          </w:rPr>
          <w:t>49</w:t>
        </w:r>
      </w:fldSimple>
      <w:r>
        <w:t>: Industry survey overview</w:t>
      </w:r>
    </w:p>
    <w:p w:rsidR="003C30D0" w:rsidRDefault="00D2123E" w:rsidP="003C30D0">
      <w:pPr>
        <w:pStyle w:val="PwCNormal"/>
      </w:pPr>
      <w:r w:rsidRPr="00D2123E">
        <w:t xml:space="preserve"> </w:t>
      </w:r>
      <w:r w:rsidRPr="00D2123E">
        <w:rPr>
          <w:noProof/>
          <w:lang w:eastAsia="en-AU"/>
        </w:rPr>
        <w:drawing>
          <wp:inline distT="0" distB="0" distL="0" distR="0" wp14:anchorId="363DA3C1" wp14:editId="75BFF9BA">
            <wp:extent cx="3810000" cy="4355607"/>
            <wp:effectExtent l="0" t="0" r="0" b="0"/>
            <wp:docPr id="15415" name="Picture 15415" descr="Figure 49 show the overview of the industry survey.  The survey was composed of 5 parts: WA and contact details, current operations within the WA, future plans within the current WA, future plans associated with future WA, and outlook and participation in extractive resource supply. " title="Figure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10000" cy="4355607"/>
                    </a:xfrm>
                    <a:prstGeom prst="rect">
                      <a:avLst/>
                    </a:prstGeom>
                    <a:noFill/>
                    <a:ln>
                      <a:noFill/>
                    </a:ln>
                  </pic:spPr>
                </pic:pic>
              </a:graphicData>
            </a:graphic>
          </wp:inline>
        </w:drawing>
      </w:r>
    </w:p>
    <w:p w:rsidR="003C30D0" w:rsidRPr="00095665" w:rsidRDefault="003C30D0" w:rsidP="003C30D0">
      <w:pPr>
        <w:pStyle w:val="Minorheading"/>
      </w:pPr>
      <w:r w:rsidRPr="00095665">
        <w:t>On-line survey</w:t>
      </w:r>
      <w:r>
        <w:t xml:space="preserve"> </w:t>
      </w:r>
    </w:p>
    <w:p w:rsidR="003C30D0" w:rsidRDefault="003C30D0" w:rsidP="003C30D0">
      <w:pPr>
        <w:pStyle w:val="BodyText"/>
      </w:pPr>
      <w:r>
        <w:t xml:space="preserve">To implement the industry survey in an efficient and scalable setting, we developed the questionnaire using a proprietary and secure web-based survey tool. The tool allowed us to instantly issue the survey to a large pool of respondents while also automating the data collection process. </w:t>
      </w:r>
    </w:p>
    <w:p w:rsidR="003C30D0" w:rsidRDefault="003C30D0" w:rsidP="003C30D0">
      <w:pPr>
        <w:pStyle w:val="BodyText"/>
      </w:pPr>
      <w:r>
        <w:t xml:space="preserve">Between 12 and 19 August 2015, email invitations to participate in the survey were sent to all 2013-14 Work Authority (WA) holders with valid email addresses and included a unique link to the survey. In total, the survey was open for 10 weeks. Email invitations were sent to 558 WA holders (representing approximately 20 per cent of Victorian production in 2013-14). PwC received </w:t>
      </w:r>
      <w:r w:rsidRPr="00C31DAE">
        <w:t>200 individual responses to the web survey from WA holders</w:t>
      </w:r>
      <w:r>
        <w:t xml:space="preserve"> totalling seven per cent of production in the </w:t>
      </w:r>
      <w:r w:rsidR="009069AC">
        <w:t xml:space="preserve">State </w:t>
      </w:r>
      <w:r>
        <w:t xml:space="preserve">using 2013-14 production data. </w:t>
      </w:r>
    </w:p>
    <w:p w:rsidR="003C30D0" w:rsidRDefault="003C30D0" w:rsidP="003C30D0">
      <w:pPr>
        <w:pStyle w:val="Minorheading"/>
      </w:pPr>
      <w:r>
        <w:t>Survey mailout</w:t>
      </w:r>
    </w:p>
    <w:p w:rsidR="003C30D0" w:rsidRDefault="003C30D0" w:rsidP="003C30D0">
      <w:pPr>
        <w:pStyle w:val="BodyText"/>
      </w:pPr>
      <w:r>
        <w:t xml:space="preserve">In addition to these 200 responses to the web survey, several paper responses were also received from respondents whose email address details were not available. Paper versions of the web survey were issued to these respondents by DEDJTR; we understand that approximately 190 paper surveys were issued. </w:t>
      </w:r>
    </w:p>
    <w:p w:rsidR="003C30D0" w:rsidRDefault="003C30D0" w:rsidP="003C30D0">
      <w:pPr>
        <w:pStyle w:val="Minorheading"/>
      </w:pPr>
      <w:r>
        <w:t>Face-to-face and telephone interviews</w:t>
      </w:r>
    </w:p>
    <w:p w:rsidR="003C30D0" w:rsidRDefault="003C30D0" w:rsidP="003C30D0">
      <w:pPr>
        <w:pStyle w:val="PwCNormal"/>
      </w:pPr>
      <w:r>
        <w:t xml:space="preserve">Using historical extractives production records, the </w:t>
      </w:r>
      <w:r w:rsidR="009069AC">
        <w:t xml:space="preserve">State’s </w:t>
      </w:r>
      <w:r>
        <w:t>top 30 producers were identified and targeted for face-to-face interviews. Telephone interviews were conducted with these respondents where they were unavailable to meet face-to-face.</w:t>
      </w:r>
    </w:p>
    <w:p w:rsidR="003C30D0" w:rsidRDefault="003C30D0" w:rsidP="003C30D0">
      <w:pPr>
        <w:pStyle w:val="PwCNormal"/>
      </w:pPr>
      <w:r>
        <w:t xml:space="preserve">As the top 30 producers represented close to 80 per cent of Victorian extractives production in 2013-14, focusing interview time on larger producers was expected to be important to gaining sufficient data to form an accurate picture of the </w:t>
      </w:r>
      <w:r w:rsidR="009069AC">
        <w:t xml:space="preserve">State’s </w:t>
      </w:r>
      <w:r>
        <w:t xml:space="preserve">future production.  </w:t>
      </w:r>
    </w:p>
    <w:p w:rsidR="003C30D0" w:rsidRDefault="003C30D0" w:rsidP="003C30D0">
      <w:pPr>
        <w:pStyle w:val="PwCNormal"/>
      </w:pPr>
      <w:r>
        <w:t xml:space="preserve">Interviews were conducted using an interview guide based on the web survey template. However, the personalised nature of the interviews allowed a more flexible approach to be adopted that provided for collection of additional data and industry insights. </w:t>
      </w:r>
    </w:p>
    <w:p w:rsidR="003C30D0" w:rsidRDefault="003C30D0" w:rsidP="003C30D0">
      <w:pPr>
        <w:pStyle w:val="PwCNormal"/>
      </w:pPr>
      <w:r>
        <w:t xml:space="preserve">Industry interviews commenced in August 2015 and were completed by October 2015. 27 respondents provided information to support the study through this process, representing approximately </w:t>
      </w:r>
      <w:r w:rsidR="00C31DAE">
        <w:t>74</w:t>
      </w:r>
      <w:r>
        <w:t xml:space="preserve"> per cent of the </w:t>
      </w:r>
      <w:r w:rsidR="009069AC">
        <w:t xml:space="preserve">State’s </w:t>
      </w:r>
      <w:r>
        <w:t xml:space="preserve">production in 2013-14. </w:t>
      </w:r>
    </w:p>
    <w:p w:rsidR="003C30D0" w:rsidRDefault="003C30D0" w:rsidP="0089081A">
      <w:pPr>
        <w:pStyle w:val="Minorheading"/>
      </w:pPr>
      <w:r>
        <w:t>Survey respondent confidentiality</w:t>
      </w:r>
    </w:p>
    <w:p w:rsidR="003C30D0" w:rsidRDefault="003C30D0" w:rsidP="003C30D0">
      <w:pPr>
        <w:pStyle w:val="PwCNormal"/>
        <w:numPr>
          <w:ilvl w:val="0"/>
          <w:numId w:val="9"/>
        </w:numPr>
      </w:pPr>
      <w:r>
        <w:t xml:space="preserve">The extractive industry supply survey was designed to gather information from respondents relating to their current and planned future operations. As this information was considered commercially sensitive, structures were established across the breadth of the study to secure respondents’ confidential information and prevent commercial-in-confidence data being revealed through the study’s reporting. </w:t>
      </w:r>
    </w:p>
    <w:p w:rsidR="003C30D0" w:rsidRPr="009848B5" w:rsidRDefault="003C30D0" w:rsidP="003C30D0">
      <w:pPr>
        <w:pStyle w:val="PwCNormal"/>
        <w:numPr>
          <w:ilvl w:val="0"/>
          <w:numId w:val="9"/>
        </w:numPr>
      </w:pPr>
      <w:r>
        <w:t xml:space="preserve">To this end, agreements were put in place between </w:t>
      </w:r>
      <w:r w:rsidR="008837A4">
        <w:t>DEDJTR</w:t>
      </w:r>
      <w:r>
        <w:t xml:space="preserve"> and the suppliers, including PwC and its contractors. These agreements provided for the protection of industry participants’ information, including data provided through the survey in respect of future commercial activities. In addition the agreements bound the suppliers to ensuring the confidentiality of industry respondents through reporting on the study’s findings. </w:t>
      </w:r>
    </w:p>
    <w:p w:rsidR="003C30D0" w:rsidRDefault="003C30D0" w:rsidP="0089081A">
      <w:pPr>
        <w:pStyle w:val="Minorheading"/>
      </w:pPr>
      <w:r>
        <w:t>Additional stakeholder consultations</w:t>
      </w:r>
    </w:p>
    <w:p w:rsidR="003C30D0" w:rsidRDefault="003C30D0" w:rsidP="003C30D0">
      <w:pPr>
        <w:pStyle w:val="PwCNormal"/>
      </w:pPr>
      <w:r>
        <w:t>To support development of the study, additional consultations were undertaken with industry participants at different stages of the supply chain. Consultations were conducted with</w:t>
      </w:r>
      <w:r w:rsidR="00BE0EF4">
        <w:t>in</w:t>
      </w:r>
      <w:r>
        <w:t xml:space="preserve"> the following </w:t>
      </w:r>
      <w:r w:rsidR="00BE0EF4">
        <w:t>sectors</w:t>
      </w:r>
      <w:r>
        <w:t>:</w:t>
      </w:r>
    </w:p>
    <w:p w:rsidR="00BE0EF4" w:rsidRDefault="00BE0EF4" w:rsidP="00BE0EF4">
      <w:pPr>
        <w:pStyle w:val="ListBullet"/>
      </w:pPr>
      <w:r>
        <w:t>construction firms</w:t>
      </w:r>
    </w:p>
    <w:p w:rsidR="00BE0EF4" w:rsidRDefault="00BE0EF4" w:rsidP="00BE0EF4">
      <w:pPr>
        <w:pStyle w:val="ListBullet"/>
      </w:pPr>
      <w:r>
        <w:t>quantity surveyors</w:t>
      </w:r>
    </w:p>
    <w:p w:rsidR="00BE0EF4" w:rsidRDefault="00BE0EF4" w:rsidP="00BE0EF4">
      <w:pPr>
        <w:pStyle w:val="ListBullet"/>
      </w:pPr>
      <w:r>
        <w:t>extractive industry participants</w:t>
      </w:r>
    </w:p>
    <w:p w:rsidR="00BE0EF4" w:rsidRDefault="00BE0EF4" w:rsidP="00BE0EF4">
      <w:pPr>
        <w:pStyle w:val="ListBullet"/>
      </w:pPr>
      <w:r>
        <w:t>VicRoads.</w:t>
      </w:r>
      <w:r>
        <w:tab/>
      </w:r>
    </w:p>
    <w:p w:rsidR="003C30D0" w:rsidRDefault="003C30D0" w:rsidP="003C30D0">
      <w:pPr>
        <w:pStyle w:val="PwCNormal"/>
      </w:pPr>
      <w:r>
        <w:t xml:space="preserve">These interviews provided for collection of data in relation to the end uses of extractive resources across different construction modes, along with information on typical resource costs and transport arrangements. </w:t>
      </w:r>
    </w:p>
    <w:p w:rsidR="003C30D0" w:rsidRDefault="003C30D0" w:rsidP="003C30D0">
      <w:pPr>
        <w:pStyle w:val="PwCNormal"/>
      </w:pPr>
      <w:r>
        <w:t>The data collected through these consultations were used to inform several assumptions applied in the economic modelling component of the study.</w:t>
      </w:r>
    </w:p>
    <w:p w:rsidR="00581332" w:rsidRDefault="00581332" w:rsidP="003C30D0">
      <w:pPr>
        <w:pStyle w:val="PwCNormal"/>
        <w:rPr>
          <w:b/>
          <w:i/>
          <w:color w:val="A32020" w:themeColor="text2"/>
          <w:sz w:val="36"/>
          <w:szCs w:val="24"/>
        </w:rPr>
      </w:pPr>
      <w:r>
        <w:rPr>
          <w:b/>
          <w:i/>
          <w:color w:val="A32020" w:themeColor="text2"/>
          <w:sz w:val="36"/>
          <w:szCs w:val="24"/>
        </w:rPr>
        <w:br w:type="page"/>
      </w:r>
    </w:p>
    <w:p w:rsidR="003C30D0" w:rsidRDefault="003C30D0" w:rsidP="003C30D0">
      <w:pPr>
        <w:pStyle w:val="PwCNormal"/>
        <w:rPr>
          <w:b/>
          <w:i/>
          <w:color w:val="A32020" w:themeColor="text2"/>
          <w:sz w:val="36"/>
          <w:szCs w:val="24"/>
        </w:rPr>
      </w:pPr>
      <w:r w:rsidRPr="0089081A">
        <w:rPr>
          <w:b/>
          <w:i/>
          <w:color w:val="A32020" w:themeColor="text2"/>
          <w:sz w:val="36"/>
          <w:szCs w:val="24"/>
        </w:rPr>
        <w:t>Development of the supply database</w:t>
      </w:r>
    </w:p>
    <w:p w:rsidR="003C30D0" w:rsidRDefault="003C30D0" w:rsidP="00360511">
      <w:pPr>
        <w:pStyle w:val="PwCNormal"/>
      </w:pPr>
      <w:r>
        <w:t xml:space="preserve">The data gathered through the industry survey was used in conjunction with DEDJTR’s WA database, which contains 2013-14 production records and other information for Victorian WA holders, to develop a set of key supply modelling inputs. </w:t>
      </w:r>
    </w:p>
    <w:p w:rsidR="003C30D0" w:rsidRDefault="003C30D0" w:rsidP="0089081A">
      <w:pPr>
        <w:pStyle w:val="Minorheading"/>
      </w:pPr>
      <w:r>
        <w:t>Key supply modelling input 1: The WA reference database</w:t>
      </w:r>
    </w:p>
    <w:p w:rsidR="003C30D0" w:rsidRDefault="003C30D0">
      <w:pPr>
        <w:pStyle w:val="PwCNormal"/>
      </w:pPr>
      <w:r>
        <w:t>Survey data on current and future production rates and deposit sizes were gathered through the industry survey for current WAs and WA applications and for planned future WA applications. These data were linked with DEDJTR records to understand</w:t>
      </w:r>
      <w:r w:rsidR="00F63A50">
        <w:t>, for each current and future WA</w:t>
      </w:r>
      <w:r>
        <w:t>:</w:t>
      </w:r>
    </w:p>
    <w:p w:rsidR="003C30D0" w:rsidRDefault="00F63A50" w:rsidP="0089081A">
      <w:pPr>
        <w:pStyle w:val="ListBullet"/>
      </w:pPr>
      <w:r>
        <w:t>its</w:t>
      </w:r>
      <w:r w:rsidR="003C30D0">
        <w:t xml:space="preserve"> g</w:t>
      </w:r>
      <w:r>
        <w:t>eospatial coordinates</w:t>
      </w:r>
      <w:r w:rsidR="003C30D0">
        <w:t xml:space="preserve"> </w:t>
      </w:r>
    </w:p>
    <w:p w:rsidR="00F63A50" w:rsidRDefault="00F63A50" w:rsidP="0089081A">
      <w:pPr>
        <w:pStyle w:val="ListBullet"/>
      </w:pPr>
      <w:r>
        <w:t>the rock and product types produced by each</w:t>
      </w:r>
    </w:p>
    <w:p w:rsidR="00F63A50" w:rsidRDefault="00F63A50" w:rsidP="0089081A">
      <w:pPr>
        <w:pStyle w:val="ListBullet"/>
      </w:pPr>
      <w:r>
        <w:t>the amount of resources remaining in the deposit</w:t>
      </w:r>
    </w:p>
    <w:p w:rsidR="00F63A50" w:rsidRDefault="00F63A50" w:rsidP="0089081A">
      <w:pPr>
        <w:pStyle w:val="ListBullet"/>
      </w:pPr>
      <w:r>
        <w:t>historical, current and planned future production rates</w:t>
      </w:r>
    </w:p>
    <w:p w:rsidR="00F63A50" w:rsidRDefault="00F63A50" w:rsidP="0089081A">
      <w:pPr>
        <w:pStyle w:val="ListBullet"/>
      </w:pPr>
      <w:r>
        <w:t>a breakdown of typical transport distances for resources produced</w:t>
      </w:r>
    </w:p>
    <w:p w:rsidR="00F63A50" w:rsidRDefault="00F63A50" w:rsidP="0089081A">
      <w:pPr>
        <w:pStyle w:val="ListBullet"/>
      </w:pPr>
      <w:r>
        <w:t>any factors inhibiting production</w:t>
      </w:r>
    </w:p>
    <w:p w:rsidR="00CF4393" w:rsidRDefault="004174AE" w:rsidP="0089081A">
      <w:pPr>
        <w:pStyle w:val="Minorheading3"/>
        <w:rPr>
          <w:b/>
        </w:rPr>
      </w:pPr>
      <w:r>
        <w:rPr>
          <w:b/>
        </w:rPr>
        <w:t>M</w:t>
      </w:r>
      <w:r w:rsidR="00CF4393" w:rsidRPr="0089081A">
        <w:rPr>
          <w:b/>
        </w:rPr>
        <w:t>issing and incomplete survey information</w:t>
      </w:r>
    </w:p>
    <w:p w:rsidR="004174AE" w:rsidRPr="008837A4" w:rsidRDefault="004174AE">
      <w:pPr>
        <w:pStyle w:val="PwCNormal"/>
      </w:pPr>
      <w:r>
        <w:t xml:space="preserve">Several assumptions were applied in cases where survey data were missing or incomplete. These assumptions are detailed in </w:t>
      </w:r>
      <w:r>
        <w:fldChar w:fldCharType="begin"/>
      </w:r>
      <w:r>
        <w:instrText xml:space="preserve"> REF _Ref445906148 \n \h </w:instrText>
      </w:r>
      <w:r>
        <w:fldChar w:fldCharType="separate"/>
      </w:r>
      <w:r w:rsidR="00E22E13">
        <w:t>Appendix B</w:t>
      </w:r>
      <w:r>
        <w:fldChar w:fldCharType="end"/>
      </w:r>
      <w:r>
        <w:t xml:space="preserve">. </w:t>
      </w:r>
    </w:p>
    <w:p w:rsidR="00703D7A" w:rsidRDefault="00703D7A" w:rsidP="0089081A">
      <w:pPr>
        <w:pStyle w:val="Minorheading3"/>
        <w:rPr>
          <w:b/>
        </w:rPr>
      </w:pPr>
      <w:r w:rsidRPr="0089081A">
        <w:rPr>
          <w:b/>
        </w:rPr>
        <w:t>Format of the WA reference database</w:t>
      </w:r>
    </w:p>
    <w:p w:rsidR="00703D7A" w:rsidRDefault="00703D7A" w:rsidP="0089081A">
      <w:pPr>
        <w:pStyle w:val="PwCNormal"/>
      </w:pPr>
      <w:r>
        <w:t>The finalised WA reference database comprised a single input table detailing</w:t>
      </w:r>
      <w:r w:rsidR="00A44385">
        <w:t xml:space="preserve">, for each </w:t>
      </w:r>
      <w:r>
        <w:t>WA</w:t>
      </w:r>
      <w:r w:rsidR="00A44385">
        <w:t>, its identification number</w:t>
      </w:r>
      <w:r>
        <w:t xml:space="preserve">, rock type, location, </w:t>
      </w:r>
      <w:r w:rsidR="00A44385">
        <w:t xml:space="preserve">remaining deposit and current production rate. </w:t>
      </w:r>
    </w:p>
    <w:p w:rsidR="00A44385" w:rsidRDefault="00A44385" w:rsidP="0089081A">
      <w:pPr>
        <w:pStyle w:val="Minorheading"/>
      </w:pPr>
      <w:r>
        <w:t>Key supply modelling input 2: The origin-destination matrix</w:t>
      </w:r>
    </w:p>
    <w:p w:rsidR="00A44385" w:rsidRDefault="00A44385" w:rsidP="0089081A">
      <w:pPr>
        <w:pStyle w:val="PwCNormal"/>
      </w:pPr>
      <w:r>
        <w:t>Using the geospatial coordinates of each WA in the WA reference database along with the coordinates of the set of Victorian demand locations, an origin-destination matrix (OD matrix) was prepared. The matrix used the VicRoads Declared Roads network</w:t>
      </w:r>
      <w:r>
        <w:rPr>
          <w:rStyle w:val="FootnoteReference"/>
        </w:rPr>
        <w:footnoteReference w:id="31"/>
      </w:r>
      <w:r>
        <w:t xml:space="preserve"> to measure the optimal transport route and associated distance, across the Victorian road network, from each Victorian WA to each Victorian locality.</w:t>
      </w:r>
      <w:r w:rsidR="00581332">
        <w:t xml:space="preserve"> </w:t>
      </w:r>
    </w:p>
    <w:p w:rsidR="00A44385" w:rsidRDefault="00A44385" w:rsidP="0089081A">
      <w:pPr>
        <w:pStyle w:val="PwCNormal"/>
      </w:pPr>
      <w:r>
        <w:t>The OD matrix additionally measured the distance travelled between each WA and locality that traversed Greater Melbourne. This Melbourne traversal distance serves as a core input into calculation of transport costs, as the Cost Reckoner differentiates between rural/regional and urban roads in terms of cost.</w:t>
      </w:r>
    </w:p>
    <w:p w:rsidR="00A44385" w:rsidRPr="00360511" w:rsidRDefault="00A44385" w:rsidP="0089081A">
      <w:pPr>
        <w:pStyle w:val="PwCNormal"/>
      </w:pPr>
      <w:r>
        <w:t>The OD matrix together with the WA reference database comprise</w:t>
      </w:r>
      <w:r w:rsidR="00992029">
        <w:t>s</w:t>
      </w:r>
      <w:r>
        <w:t xml:space="preserve"> the supply database used in the detailed geospatial economic modelling</w:t>
      </w:r>
      <w:r w:rsidR="00992029">
        <w:t xml:space="preserve"> undertaken as part of this study</w:t>
      </w:r>
      <w:r>
        <w:t xml:space="preserve">. </w:t>
      </w:r>
    </w:p>
    <w:p w:rsidR="00581332" w:rsidRDefault="00581332" w:rsidP="003C30D0">
      <w:pPr>
        <w:pStyle w:val="CVNamelarge"/>
      </w:pPr>
      <w:r>
        <w:br w:type="page"/>
      </w:r>
    </w:p>
    <w:p w:rsidR="003C30D0" w:rsidRDefault="003C30D0" w:rsidP="0089081A">
      <w:pPr>
        <w:pStyle w:val="CVNamelarge"/>
      </w:pPr>
      <w:r>
        <w:t>Granular spatial redistribution of demand</w:t>
      </w:r>
    </w:p>
    <w:p w:rsidR="003C30D0" w:rsidRDefault="003C30D0" w:rsidP="003C30D0">
      <w:pPr>
        <w:pStyle w:val="Minorheading3"/>
      </w:pPr>
      <w:r>
        <w:t>Geospatial granularity of the demand study</w:t>
      </w:r>
    </w:p>
    <w:p w:rsidR="003C30D0" w:rsidRDefault="003C30D0" w:rsidP="00FD42B1">
      <w:pPr>
        <w:pStyle w:val="Caption"/>
        <w:tabs>
          <w:tab w:val="clear" w:pos="992"/>
          <w:tab w:val="left" w:pos="0"/>
        </w:tabs>
        <w:ind w:left="0" w:firstLine="0"/>
      </w:pPr>
      <w:r w:rsidRPr="00FD42B1">
        <w:rPr>
          <w:rFonts w:ascii="Georgia" w:hAnsi="Georgia"/>
          <w:b w:val="0"/>
          <w:bCs w:val="0"/>
          <w:color w:val="auto"/>
          <w:szCs w:val="20"/>
        </w:rPr>
        <w:t xml:space="preserve">The demand analysis outputs were provided to PwC at the LGA-level for each year and rock type covered in the analysis. There are 79 LGAs in Victoria, meaning demand within the </w:t>
      </w:r>
      <w:r w:rsidR="009069AC">
        <w:rPr>
          <w:rFonts w:ascii="Georgia" w:hAnsi="Georgia"/>
          <w:b w:val="0"/>
          <w:bCs w:val="0"/>
          <w:color w:val="auto"/>
          <w:szCs w:val="20"/>
        </w:rPr>
        <w:t>S</w:t>
      </w:r>
      <w:r w:rsidR="009069AC" w:rsidRPr="00FD42B1">
        <w:rPr>
          <w:rFonts w:ascii="Georgia" w:hAnsi="Georgia"/>
          <w:b w:val="0"/>
          <w:bCs w:val="0"/>
          <w:color w:val="auto"/>
          <w:szCs w:val="20"/>
        </w:rPr>
        <w:t xml:space="preserve">tate </w:t>
      </w:r>
      <w:r w:rsidRPr="00FD42B1">
        <w:rPr>
          <w:rFonts w:ascii="Georgia" w:hAnsi="Georgia"/>
          <w:b w:val="0"/>
          <w:bCs w:val="0"/>
          <w:color w:val="auto"/>
          <w:szCs w:val="20"/>
        </w:rPr>
        <w:t>was split among 79 sub-regions. Victoria’s LGAs are depicted in</w:t>
      </w:r>
      <w:r w:rsidR="00FD42B1">
        <w:rPr>
          <w:rFonts w:ascii="Georgia" w:hAnsi="Georgia"/>
          <w:b w:val="0"/>
          <w:bCs w:val="0"/>
          <w:color w:val="auto"/>
          <w:szCs w:val="20"/>
        </w:rPr>
        <w:t xml:space="preserve"> the figure below</w:t>
      </w:r>
      <w:r>
        <w:t>.</w:t>
      </w:r>
    </w:p>
    <w:p w:rsidR="003C30D0" w:rsidRDefault="003C30D0" w:rsidP="003C30D0">
      <w:pPr>
        <w:pStyle w:val="PwCNormal"/>
      </w:pPr>
      <w:r>
        <w:t>Many of these 79 LGAs cover a relatively large geographic area, such as East Gippsland which has an area of close to 21,000km</w:t>
      </w:r>
      <w:r>
        <w:rPr>
          <w:vertAlign w:val="superscript"/>
        </w:rPr>
        <w:t xml:space="preserve">2 </w:t>
      </w:r>
      <w:r>
        <w:t>and Mildura at over 22,000km</w:t>
      </w:r>
      <w:r>
        <w:rPr>
          <w:vertAlign w:val="superscript"/>
        </w:rPr>
        <w:t>2</w:t>
      </w:r>
      <w:r>
        <w:t>. Information on the underlying distributions of demand for different rock types within these LGAs was not provided by the demand analysis deliverable. Rather demand was assumed to be uniform across each LGA’s surface.</w:t>
      </w:r>
    </w:p>
    <w:p w:rsidR="003C30D0" w:rsidRDefault="003C30D0" w:rsidP="003C30D0">
      <w:pPr>
        <w:pStyle w:val="Caption"/>
      </w:pPr>
      <w:r>
        <w:t xml:space="preserve">Figure </w:t>
      </w:r>
      <w:fldSimple w:instr=" SEQ Figure \* ARABIC ">
        <w:r w:rsidR="00E22E13">
          <w:rPr>
            <w:noProof/>
          </w:rPr>
          <w:t>50</w:t>
        </w:r>
      </w:fldSimple>
      <w:r>
        <w:t xml:space="preserve">: </w:t>
      </w:r>
      <w:r w:rsidR="00992029">
        <w:t xml:space="preserve">Representation of </w:t>
      </w:r>
      <w:r>
        <w:t>Victoria's Local Government Areas (LGAs)</w:t>
      </w:r>
    </w:p>
    <w:p w:rsidR="003C30D0" w:rsidRDefault="00FD42B1" w:rsidP="003C30D0">
      <w:pPr>
        <w:pStyle w:val="Sources"/>
      </w:pPr>
      <w:r>
        <w:rPr>
          <w:noProof/>
          <w:snapToGrid/>
          <w:lang w:eastAsia="en-AU"/>
        </w:rPr>
        <mc:AlternateContent>
          <mc:Choice Requires="wps">
            <w:drawing>
              <wp:anchor distT="0" distB="0" distL="114300" distR="114300" simplePos="0" relativeHeight="251660288" behindDoc="0" locked="0" layoutInCell="1" allowOverlap="1" wp14:anchorId="5B04EE32" wp14:editId="6732D2CC">
                <wp:simplePos x="0" y="0"/>
                <wp:positionH relativeFrom="column">
                  <wp:posOffset>3384442</wp:posOffset>
                </wp:positionH>
                <wp:positionV relativeFrom="paragraph">
                  <wp:posOffset>3147120</wp:posOffset>
                </wp:positionV>
                <wp:extent cx="1095555" cy="267419"/>
                <wp:effectExtent l="0" t="0" r="28575" b="18415"/>
                <wp:wrapNone/>
                <wp:docPr id="15412" name="Text Box 15412"/>
                <wp:cNvGraphicFramePr/>
                <a:graphic xmlns:a="http://schemas.openxmlformats.org/drawingml/2006/main">
                  <a:graphicData uri="http://schemas.microsoft.com/office/word/2010/wordprocessingShape">
                    <wps:wsp>
                      <wps:cNvSpPr txBox="1"/>
                      <wps:spPr>
                        <a:xfrm>
                          <a:off x="0" y="0"/>
                          <a:ext cx="1095555" cy="267419"/>
                        </a:xfrm>
                        <a:prstGeom prst="rect">
                          <a:avLst/>
                        </a:prstGeom>
                        <a:solidFill>
                          <a:schemeClr val="bg1"/>
                        </a:solidFill>
                        <a:ln w="6350">
                          <a:solidFill>
                            <a:schemeClr val="bg1"/>
                          </a:solidFill>
                        </a:ln>
                      </wps:spPr>
                      <wps:txbx>
                        <w:txbxContent>
                          <w:p w:rsidR="00F752F4" w:rsidRDefault="00F752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04EE32" id="Text Box 15412" o:spid="_x0000_s1033" type="#_x0000_t202" style="position:absolute;margin-left:266.5pt;margin-top:247.8pt;width:86.25pt;height:2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" fillcolor="white [3212]" strokecolor="white [3212]" strokeweight=".5pt">
                <v:textbox inset="0,0,0,0">
                  <w:txbxContent>
                    <w:p w:rsidR="00F752F4" w:rsidRDefault="00F752F4"/>
                  </w:txbxContent>
                </v:textbox>
              </v:shape>
            </w:pict>
          </mc:Fallback>
        </mc:AlternateContent>
      </w:r>
      <w:r w:rsidR="003C30D0">
        <w:rPr>
          <w:noProof/>
          <w:snapToGrid/>
          <w:lang w:eastAsia="en-AU"/>
        </w:rPr>
        <w:drawing>
          <wp:inline distT="0" distB="0" distL="0" distR="0" wp14:anchorId="23CDC5C3" wp14:editId="282881AA">
            <wp:extent cx="5220335" cy="3631368"/>
            <wp:effectExtent l="0" t="0" r="0" b="7620"/>
            <wp:docPr id="122" name="Picture 122" descr="Figure 50 is a map of Victoria showing the boundaries of each of the state’s LGAs. " title="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20335" cy="3631368"/>
                    </a:xfrm>
                    <a:prstGeom prst="rect">
                      <a:avLst/>
                    </a:prstGeom>
                  </pic:spPr>
                </pic:pic>
              </a:graphicData>
            </a:graphic>
          </wp:inline>
        </w:drawing>
      </w:r>
      <w:r w:rsidR="003C30D0">
        <w:t>Source: PwC’s GEM</w:t>
      </w:r>
      <w:r w:rsidR="00D311A7">
        <w:t>.</w:t>
      </w:r>
    </w:p>
    <w:p w:rsidR="003C30D0" w:rsidRDefault="003C30D0" w:rsidP="003C30D0">
      <w:pPr>
        <w:pStyle w:val="Minorheading3"/>
      </w:pPr>
      <w:r>
        <w:t>Distribution of demand to Victorian localities</w:t>
      </w:r>
    </w:p>
    <w:p w:rsidR="003C30D0" w:rsidRPr="00640837" w:rsidRDefault="003C30D0" w:rsidP="003C30D0">
      <w:pPr>
        <w:pStyle w:val="PwCNormal"/>
      </w:pPr>
      <w:r>
        <w:t>To provide for increased geospatial granularity of the supply-demand analysis it was necessary to distribute the LGA-level demand data to different localities and regions within each LGA. Victoria’s urban centres and localities were used for this purpose</w:t>
      </w:r>
      <w:r w:rsidR="00581332">
        <w:t>, as defined by the ABS</w:t>
      </w:r>
      <w:r>
        <w:t>.</w:t>
      </w:r>
      <w:r w:rsidR="00581332">
        <w:rPr>
          <w:rStyle w:val="FootnoteReference"/>
        </w:rPr>
        <w:footnoteReference w:id="32"/>
      </w:r>
      <w:r>
        <w:t xml:space="preserve"> </w:t>
      </w:r>
    </w:p>
    <w:p w:rsidR="003C30D0" w:rsidRDefault="003C30D0" w:rsidP="00477DCD">
      <w:pPr>
        <w:pStyle w:val="Caption"/>
        <w:tabs>
          <w:tab w:val="clear" w:pos="992"/>
          <w:tab w:val="left" w:pos="0"/>
        </w:tabs>
        <w:ind w:left="0" w:firstLine="0"/>
      </w:pPr>
      <w:r w:rsidRPr="00FD42B1">
        <w:rPr>
          <w:rFonts w:ascii="Georgia" w:hAnsi="Georgia"/>
          <w:b w:val="0"/>
          <w:bCs w:val="0"/>
          <w:color w:val="auto"/>
          <w:szCs w:val="20"/>
        </w:rPr>
        <w:t>This component of the analysis resulted in a redistribution of demand from 79 LGAs to almost 500 individual Victorian localities, offering a significantly more granular view of the demand for extractive resources within the State.</w:t>
      </w:r>
      <w:r w:rsidR="00BE0EF4">
        <w:rPr>
          <w:rFonts w:ascii="Georgia" w:hAnsi="Georgia"/>
          <w:b w:val="0"/>
          <w:bCs w:val="0"/>
          <w:color w:val="auto"/>
          <w:szCs w:val="20"/>
        </w:rPr>
        <w:t xml:space="preserve"> </w:t>
      </w:r>
      <w:r w:rsidRPr="00FD42B1">
        <w:rPr>
          <w:rFonts w:ascii="Georgia" w:hAnsi="Georgia"/>
          <w:b w:val="0"/>
          <w:bCs w:val="0"/>
          <w:color w:val="auto"/>
          <w:szCs w:val="20"/>
        </w:rPr>
        <w:t xml:space="preserve">Victoria’s localities are represented by the dark triangles </w:t>
      </w:r>
      <w:r w:rsidRPr="00BE0EF4">
        <w:rPr>
          <w:rFonts w:ascii="Georgia" w:hAnsi="Georgia"/>
          <w:b w:val="0"/>
          <w:bCs w:val="0"/>
          <w:color w:val="auto"/>
          <w:szCs w:val="20"/>
        </w:rPr>
        <w:t xml:space="preserve">depicted </w:t>
      </w:r>
      <w:r w:rsidR="00477DCD" w:rsidRPr="00BE0EF4">
        <w:rPr>
          <w:rFonts w:ascii="Georgia" w:hAnsi="Georgia"/>
          <w:b w:val="0"/>
          <w:bCs w:val="0"/>
          <w:color w:val="auto"/>
          <w:szCs w:val="20"/>
        </w:rPr>
        <w:t xml:space="preserve">in </w:t>
      </w:r>
      <w:r w:rsidR="00BE0EF4" w:rsidRPr="00C307D3">
        <w:rPr>
          <w:rFonts w:ascii="Georgia" w:hAnsi="Georgia"/>
          <w:b w:val="0"/>
          <w:bCs w:val="0"/>
          <w:color w:val="auto"/>
          <w:szCs w:val="20"/>
        </w:rPr>
        <w:fldChar w:fldCharType="begin"/>
      </w:r>
      <w:r w:rsidR="00BE0EF4" w:rsidRPr="00BE0EF4">
        <w:rPr>
          <w:rFonts w:ascii="Georgia" w:hAnsi="Georgia"/>
          <w:b w:val="0"/>
          <w:bCs w:val="0"/>
          <w:color w:val="auto"/>
          <w:szCs w:val="20"/>
        </w:rPr>
        <w:instrText xml:space="preserve"> REF _Ref449689058 \h </w:instrText>
      </w:r>
      <w:r w:rsidR="00BE0EF4" w:rsidRPr="00E060CE">
        <w:rPr>
          <w:rFonts w:ascii="Georgia" w:hAnsi="Georgia"/>
          <w:b w:val="0"/>
          <w:bCs w:val="0"/>
          <w:color w:val="auto"/>
          <w:szCs w:val="20"/>
        </w:rPr>
        <w:instrText xml:space="preserve"> \* MERGEFORMAT </w:instrText>
      </w:r>
      <w:r w:rsidR="00BE0EF4" w:rsidRPr="00C307D3">
        <w:rPr>
          <w:rFonts w:ascii="Georgia" w:hAnsi="Georgia"/>
          <w:b w:val="0"/>
          <w:bCs w:val="0"/>
          <w:color w:val="auto"/>
          <w:szCs w:val="20"/>
        </w:rPr>
      </w:r>
      <w:r w:rsidR="00BE0EF4" w:rsidRPr="00C307D3">
        <w:rPr>
          <w:rFonts w:ascii="Georgia" w:hAnsi="Georgia"/>
          <w:b w:val="0"/>
          <w:bCs w:val="0"/>
          <w:color w:val="auto"/>
          <w:szCs w:val="20"/>
        </w:rPr>
        <w:fldChar w:fldCharType="separate"/>
      </w:r>
      <w:r w:rsidR="00E22E13" w:rsidRPr="00E22E13">
        <w:rPr>
          <w:rFonts w:ascii="Georgia" w:hAnsi="Georgia"/>
          <w:b w:val="0"/>
          <w:bCs w:val="0"/>
          <w:color w:val="auto"/>
          <w:szCs w:val="20"/>
        </w:rPr>
        <w:t>Figure 51</w:t>
      </w:r>
      <w:r w:rsidR="00BE0EF4" w:rsidRPr="00C307D3">
        <w:rPr>
          <w:rFonts w:ascii="Georgia" w:hAnsi="Georgia"/>
          <w:b w:val="0"/>
          <w:bCs w:val="0"/>
          <w:color w:val="auto"/>
          <w:szCs w:val="20"/>
        </w:rPr>
        <w:fldChar w:fldCharType="end"/>
      </w:r>
      <w:r w:rsidR="00477DCD" w:rsidRPr="00BE0EF4">
        <w:rPr>
          <w:rFonts w:ascii="Georgia" w:hAnsi="Georgia"/>
          <w:b w:val="0"/>
          <w:bCs w:val="0"/>
          <w:color w:val="auto"/>
          <w:szCs w:val="20"/>
        </w:rPr>
        <w:t>.</w:t>
      </w:r>
    </w:p>
    <w:p w:rsidR="003C30D0" w:rsidRDefault="003C30D0" w:rsidP="003C30D0">
      <w:pPr>
        <w:pStyle w:val="Caption"/>
      </w:pPr>
      <w:bookmarkStart w:id="387" w:name="_Ref449689058"/>
      <w:r>
        <w:t xml:space="preserve">Figure </w:t>
      </w:r>
      <w:fldSimple w:instr=" SEQ Figure \* ARABIC ">
        <w:r w:rsidR="00E22E13">
          <w:rPr>
            <w:noProof/>
          </w:rPr>
          <w:t>51</w:t>
        </w:r>
      </w:fldSimple>
      <w:bookmarkEnd w:id="387"/>
      <w:r>
        <w:t xml:space="preserve">: </w:t>
      </w:r>
      <w:r w:rsidR="00992029">
        <w:t xml:space="preserve">Representation of </w:t>
      </w:r>
      <w:r>
        <w:t>Victorian localities used in the analysis</w:t>
      </w:r>
    </w:p>
    <w:p w:rsidR="003C30D0" w:rsidRDefault="000B211A" w:rsidP="003C30D0">
      <w:pPr>
        <w:pStyle w:val="Sources"/>
      </w:pPr>
      <w:r>
        <w:rPr>
          <w:noProof/>
          <w:snapToGrid/>
          <w:lang w:eastAsia="en-AU"/>
        </w:rPr>
        <w:drawing>
          <wp:inline distT="0" distB="0" distL="0" distR="0" wp14:anchorId="29BD49E2" wp14:editId="5DC81CB8">
            <wp:extent cx="5220335" cy="3732530"/>
            <wp:effectExtent l="0" t="0" r="0" b="1270"/>
            <wp:docPr id="691" name="Picture 691" descr="Figure 51 is a map of Victoria showing the location of each of the almost 500 demand localities for extractive resources."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20335" cy="3732530"/>
                    </a:xfrm>
                    <a:prstGeom prst="rect">
                      <a:avLst/>
                    </a:prstGeom>
                  </pic:spPr>
                </pic:pic>
              </a:graphicData>
            </a:graphic>
          </wp:inline>
        </w:drawing>
      </w:r>
      <w:r w:rsidR="003C30D0" w:rsidRPr="003657CE">
        <w:t xml:space="preserve"> </w:t>
      </w:r>
      <w:r w:rsidR="00581332">
        <w:t>S</w:t>
      </w:r>
      <w:r w:rsidR="003C30D0">
        <w:t>ource: PwC’s GEM, OpenStreetMap</w:t>
      </w:r>
      <w:r w:rsidR="00D311A7">
        <w:t xml:space="preserve">. </w:t>
      </w:r>
    </w:p>
    <w:p w:rsidR="00581332" w:rsidRDefault="00581332" w:rsidP="00581332">
      <w:pPr>
        <w:pStyle w:val="PwCNormal"/>
      </w:pPr>
      <w:r>
        <w:t>This level of granularity provided a more appropriate match for that of the supply analysis, which was performed at the level of each individual work authority.</w:t>
      </w:r>
    </w:p>
    <w:p w:rsidR="00581332" w:rsidRDefault="00581332" w:rsidP="003C30D0">
      <w:pPr>
        <w:pStyle w:val="Minorheading"/>
        <w:rPr>
          <w:rFonts w:ascii="Georgia" w:hAnsi="Georgia"/>
          <w:b/>
          <w:sz w:val="36"/>
        </w:rPr>
      </w:pPr>
      <w:r>
        <w:rPr>
          <w:rFonts w:ascii="Georgia" w:hAnsi="Georgia"/>
          <w:b/>
          <w:sz w:val="36"/>
        </w:rPr>
        <w:br w:type="page"/>
      </w:r>
    </w:p>
    <w:p w:rsidR="003C30D0" w:rsidRPr="0089081A" w:rsidRDefault="00581332" w:rsidP="0089081A">
      <w:pPr>
        <w:pStyle w:val="Minorheading"/>
        <w:rPr>
          <w:rFonts w:ascii="Georgia" w:hAnsi="Georgia"/>
          <w:b/>
          <w:sz w:val="36"/>
        </w:rPr>
      </w:pPr>
      <w:r w:rsidRPr="0089081A">
        <w:rPr>
          <w:rFonts w:ascii="Georgia" w:hAnsi="Georgia"/>
          <w:b/>
          <w:sz w:val="36"/>
        </w:rPr>
        <w:t>The gravity model</w:t>
      </w:r>
    </w:p>
    <w:p w:rsidR="00581332" w:rsidRDefault="00581332" w:rsidP="003C30D0">
      <w:pPr>
        <w:pStyle w:val="PwCNormal"/>
      </w:pPr>
      <w:r>
        <w:t>A gravity model was then developed in order to integrate the detailed supply database with the outputs of the granular redistribution of demand.</w:t>
      </w:r>
    </w:p>
    <w:p w:rsidR="00EA6153" w:rsidRDefault="00EA6153" w:rsidP="0089081A">
      <w:pPr>
        <w:pStyle w:val="Minorheading"/>
      </w:pPr>
      <w:r>
        <w:t>Context of the gravity model: demand-driven supply</w:t>
      </w:r>
    </w:p>
    <w:p w:rsidR="00EA6153" w:rsidRDefault="00EA6153" w:rsidP="00EA6153">
      <w:pPr>
        <w:pStyle w:val="PwCNormal"/>
      </w:pPr>
      <w:r>
        <w:t xml:space="preserve">Within the gravity model, WA operators are attributed production levels within a given year based on a combination of their historical production rates, which are assumed to broadly reflect their productive capacity, and the level of demand they face for the period. </w:t>
      </w:r>
    </w:p>
    <w:p w:rsidR="00EA6153" w:rsidRDefault="00EA6153" w:rsidP="00EA6153">
      <w:pPr>
        <w:pStyle w:val="PwCNormal"/>
      </w:pPr>
      <w:r>
        <w:t xml:space="preserve">Application of this methodology results in demand-driven supply outcomes. These outcomes are optimal in that no excess supply arises and hence WA operators do </w:t>
      </w:r>
      <w:r w:rsidR="00477DCD">
        <w:t xml:space="preserve">unearth </w:t>
      </w:r>
      <w:r>
        <w:t>resources that may not be sold in the market.</w:t>
      </w:r>
    </w:p>
    <w:p w:rsidR="0059012C" w:rsidRDefault="0059012C" w:rsidP="0089081A">
      <w:pPr>
        <w:pStyle w:val="Minorheading"/>
      </w:pPr>
      <w:r>
        <w:t>Matching of WAs to localities based on distance and capacity</w:t>
      </w:r>
    </w:p>
    <w:p w:rsidR="006306AA" w:rsidRDefault="006306AA" w:rsidP="003C30D0">
      <w:pPr>
        <w:pStyle w:val="PwCNormal"/>
      </w:pPr>
      <w:r>
        <w:t xml:space="preserve">The goal of </w:t>
      </w:r>
      <w:r w:rsidR="00EA6153">
        <w:t>the gravity model</w:t>
      </w:r>
      <w:r>
        <w:t xml:space="preserve"> was to understand the most likely flows of extractive resources, across the Victorian road network, between WAs and localities. This assessment necessarily account</w:t>
      </w:r>
      <w:r w:rsidR="00285E9F">
        <w:t>ed</w:t>
      </w:r>
      <w:r>
        <w:t xml:space="preserve"> for the following market realities:</w:t>
      </w:r>
    </w:p>
    <w:p w:rsidR="006306AA" w:rsidRDefault="006306AA" w:rsidP="006306AA">
      <w:pPr>
        <w:pStyle w:val="PwCNormal"/>
        <w:numPr>
          <w:ilvl w:val="0"/>
          <w:numId w:val="38"/>
        </w:numPr>
      </w:pPr>
      <w:r>
        <w:t>due to the high weight-to-value ratio of extractive resources, buyers will purchase from more proximal quarries to minimise the costs of delivered material</w:t>
      </w:r>
    </w:p>
    <w:p w:rsidR="006306AA" w:rsidRDefault="006306AA" w:rsidP="006306AA">
      <w:pPr>
        <w:pStyle w:val="PwCNormal"/>
        <w:numPr>
          <w:ilvl w:val="0"/>
          <w:numId w:val="38"/>
        </w:numPr>
      </w:pPr>
      <w:r>
        <w:t>miners of extractive resources prefer to serve fewer large markets rather than more numerous small markets to minimise their transaction costs, which increase with the number of markets served.</w:t>
      </w:r>
    </w:p>
    <w:p w:rsidR="00E31424" w:rsidRDefault="00E31424" w:rsidP="003C30D0">
      <w:pPr>
        <w:pStyle w:val="PwCNormal"/>
      </w:pPr>
      <w:r>
        <w:t xml:space="preserve">Reflecting these realities, the gravity model computes </w:t>
      </w:r>
      <w:r w:rsidR="00581332">
        <w:t xml:space="preserve">a dynamic matching of </w:t>
      </w:r>
      <w:r>
        <w:t>WAs and localities through time</w:t>
      </w:r>
      <w:r w:rsidR="00581332">
        <w:t xml:space="preserve"> based on a weighted combination of distance and productive capacity. </w:t>
      </w:r>
      <w:r w:rsidR="00360511">
        <w:t>The weighting is computed as a combination of the WA view and Locality view as discussed below.</w:t>
      </w:r>
    </w:p>
    <w:p w:rsidR="007F3591" w:rsidRDefault="007F3591" w:rsidP="003C30D0">
      <w:pPr>
        <w:pStyle w:val="PwCNormal"/>
      </w:pPr>
      <w:r>
        <w:t>A distance threshold of 300km was applied in the analysis to limit the matching to WAs and localities across the Victorian road network. This distance reflects a reasonable maximum given information on typical maximum travel distances provided by respondents to PwC through the industry survey.</w:t>
      </w:r>
    </w:p>
    <w:p w:rsidR="00E31424" w:rsidRDefault="00360511" w:rsidP="0089081A">
      <w:pPr>
        <w:pStyle w:val="Minorheading3"/>
      </w:pPr>
      <w:r>
        <w:t>Weighting: WA</w:t>
      </w:r>
      <w:r w:rsidR="00E31424">
        <w:t xml:space="preserve"> view</w:t>
      </w:r>
    </w:p>
    <w:p w:rsidR="00581332" w:rsidRDefault="00E31424" w:rsidP="003C30D0">
      <w:pPr>
        <w:pStyle w:val="PwCNormal"/>
      </w:pPr>
      <w:r>
        <w:t xml:space="preserve">WAs are matched to localities that are nearby and exhibit a positive demand for the resource produced at the WA. The closest localities with the strongest demand will receive a higher ‘weighting’, meaning the WA will supply the most resources to these locations. Close-by localities with no demand for the resource will receive no tonnage from the WA.  </w:t>
      </w:r>
    </w:p>
    <w:p w:rsidR="00E31424" w:rsidRDefault="00360511" w:rsidP="0089081A">
      <w:pPr>
        <w:pStyle w:val="Minorheading3"/>
      </w:pPr>
      <w:r>
        <w:t xml:space="preserve">Weighting: </w:t>
      </w:r>
      <w:r w:rsidR="00E31424">
        <w:t>Locality view</w:t>
      </w:r>
    </w:p>
    <w:p w:rsidR="00E31424" w:rsidRDefault="00E31424">
      <w:pPr>
        <w:pStyle w:val="PwCNormal"/>
      </w:pPr>
      <w:r>
        <w:t>Localities assign weights to WAs based on the following conditions:</w:t>
      </w:r>
    </w:p>
    <w:p w:rsidR="00E31424" w:rsidRDefault="00360511" w:rsidP="0089081A">
      <w:pPr>
        <w:pStyle w:val="ListBullet"/>
      </w:pPr>
      <w:r>
        <w:t>the WA produces a rock type that the locality exhibits positive demand for</w:t>
      </w:r>
    </w:p>
    <w:p w:rsidR="00360511" w:rsidRDefault="00360511" w:rsidP="0089081A">
      <w:pPr>
        <w:pStyle w:val="ListBullet"/>
      </w:pPr>
      <w:r>
        <w:t>the WA is relatively close by</w:t>
      </w:r>
    </w:p>
    <w:p w:rsidR="00360511" w:rsidRDefault="00360511" w:rsidP="0089081A">
      <w:pPr>
        <w:pStyle w:val="ListBullet"/>
      </w:pPr>
      <w:r>
        <w:t>the WA produces th</w:t>
      </w:r>
      <w:r w:rsidR="00477DCD">
        <w:t>e demanded</w:t>
      </w:r>
      <w:r>
        <w:t xml:space="preserve"> rock type in positive volumes in 2015</w:t>
      </w:r>
    </w:p>
    <w:p w:rsidR="00360511" w:rsidRDefault="00360511">
      <w:pPr>
        <w:pStyle w:val="PwCNormal"/>
      </w:pPr>
      <w:r>
        <w:t xml:space="preserve">The closest quarries with the largest production values are attributed the highest weighting. </w:t>
      </w:r>
    </w:p>
    <w:p w:rsidR="00360511" w:rsidRDefault="00360511" w:rsidP="0089081A">
      <w:pPr>
        <w:pStyle w:val="Minorheading3"/>
      </w:pPr>
      <w:r>
        <w:t>Combined weighting</w:t>
      </w:r>
    </w:p>
    <w:p w:rsidR="0059012C" w:rsidRDefault="00360511">
      <w:pPr>
        <w:pStyle w:val="PwCNormal"/>
      </w:pPr>
      <w:r>
        <w:t>These two weighting components are combined to attribute a set of weights to each WA considered in the analysis</w:t>
      </w:r>
      <w:r w:rsidR="0059012C">
        <w:t xml:space="preserve"> for each year considered</w:t>
      </w:r>
      <w:r>
        <w:t>. A single weight value exists</w:t>
      </w:r>
      <w:r w:rsidR="0059012C">
        <w:t xml:space="preserve"> for each</w:t>
      </w:r>
      <w:r>
        <w:t xml:space="preserve"> </w:t>
      </w:r>
      <w:r w:rsidR="007F3591">
        <w:t>WA a locality</w:t>
      </w:r>
      <w:r>
        <w:t xml:space="preserve"> is matched to. The weights for each WA sum to one so that the WA’s productive capacity is fully utilised. </w:t>
      </w:r>
      <w:r w:rsidR="007F3591">
        <w:t xml:space="preserve">Similarly, the weights for each locality and rock type sum to one so that under optimal supply conditions, its demand will be met. </w:t>
      </w:r>
      <w:r w:rsidR="0059012C">
        <w:t>These weights are calculated each year to account for the addition of new resource deposits emerging within current and planned WA applications.</w:t>
      </w:r>
    </w:p>
    <w:p w:rsidR="00360511" w:rsidRDefault="00360511">
      <w:pPr>
        <w:pStyle w:val="PwCNormal"/>
      </w:pPr>
      <w:r>
        <w:t>An example weighting is provided i</w:t>
      </w:r>
      <w:r w:rsidR="00477DCD">
        <w:t xml:space="preserve">n the table below </w:t>
      </w:r>
      <w:r w:rsidR="007F3591">
        <w:t>for a hypothetical demand location and set of supplying WAs. Note that the weights sum to one for each rock type</w:t>
      </w:r>
      <w:r w:rsidR="00DE6FC4">
        <w:t>-</w:t>
      </w:r>
      <w:r w:rsidR="007F3591">
        <w:t xml:space="preserve"> </w:t>
      </w:r>
      <w:r w:rsidR="00DE6FC4">
        <w:t xml:space="preserve">and locality-combination </w:t>
      </w:r>
      <w:r w:rsidR="007F3591">
        <w:t xml:space="preserve">listed in the table. </w:t>
      </w:r>
    </w:p>
    <w:p w:rsidR="00360511" w:rsidRDefault="00360511" w:rsidP="0089081A">
      <w:pPr>
        <w:pStyle w:val="Caption"/>
      </w:pPr>
      <w:bookmarkStart w:id="388" w:name="_Ref445830268"/>
      <w:r>
        <w:t xml:space="preserve">Table </w:t>
      </w:r>
      <w:bookmarkStart w:id="389" w:name="_Ref445829311"/>
      <w:r>
        <w:fldChar w:fldCharType="begin"/>
      </w:r>
      <w:r>
        <w:instrText xml:space="preserve"> SEQ Table \* ARABIC </w:instrText>
      </w:r>
      <w:r>
        <w:fldChar w:fldCharType="separate"/>
      </w:r>
      <w:r w:rsidR="00E22E13">
        <w:rPr>
          <w:noProof/>
        </w:rPr>
        <w:t>30</w:t>
      </w:r>
      <w:r>
        <w:fldChar w:fldCharType="end"/>
      </w:r>
      <w:bookmarkEnd w:id="388"/>
      <w:bookmarkEnd w:id="389"/>
      <w:r>
        <w:t>: Example gravity model weights</w:t>
      </w:r>
    </w:p>
    <w:tbl>
      <w:tblPr>
        <w:tblStyle w:val="Tables-APBase"/>
        <w:tblW w:w="5000" w:type="pct"/>
        <w:tblLayout w:type="fixed"/>
        <w:tblLook w:val="04A0" w:firstRow="1" w:lastRow="0" w:firstColumn="1" w:lastColumn="0" w:noHBand="0" w:noVBand="1"/>
        <w:tblCaption w:val="Table 30 "/>
        <w:tblDescription w:val="Table 30 is an example of the gravity model weights. Some examples are: Example 1: Bendigo, rock type hornfels, WA_123451, 2015 weight: 0.10.  Example 2: Castlemaine, rock type hornfels, WA_123451, 2015 weight 0.60."/>
      </w:tblPr>
      <w:tblGrid>
        <w:gridCol w:w="2107"/>
        <w:gridCol w:w="2110"/>
        <w:gridCol w:w="2110"/>
        <w:gridCol w:w="2110"/>
      </w:tblGrid>
      <w:tr w:rsidR="007F3591" w:rsidTr="0089081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07" w:type="dxa"/>
            <w:vAlign w:val="center"/>
          </w:tcPr>
          <w:p w:rsidR="007F3591" w:rsidRDefault="007F3591" w:rsidP="0089081A">
            <w:pPr>
              <w:pStyle w:val="TableColumnHeadingSmall"/>
            </w:pPr>
            <w:r>
              <w:t>Locality</w:t>
            </w:r>
          </w:p>
        </w:tc>
        <w:tc>
          <w:tcPr>
            <w:tcW w:w="2110" w:type="dxa"/>
          </w:tcPr>
          <w:p w:rsidR="007F3591" w:rsidRDefault="007F3591">
            <w:pPr>
              <w:pStyle w:val="TableColumnHeadingSmall"/>
              <w:jc w:val="right"/>
              <w:cnfStyle w:val="100000000000" w:firstRow="1" w:lastRow="0" w:firstColumn="0" w:lastColumn="0" w:oddVBand="0" w:evenVBand="0" w:oddHBand="0" w:evenHBand="0" w:firstRowFirstColumn="0" w:firstRowLastColumn="0" w:lastRowFirstColumn="0" w:lastRowLastColumn="0"/>
            </w:pPr>
            <w:r>
              <w:t>Rock type</w:t>
            </w:r>
          </w:p>
        </w:tc>
        <w:tc>
          <w:tcPr>
            <w:tcW w:w="2110" w:type="dxa"/>
          </w:tcPr>
          <w:p w:rsidR="007F3591" w:rsidRDefault="007F3591">
            <w:pPr>
              <w:pStyle w:val="TableColumnHeadingSmall"/>
              <w:jc w:val="right"/>
              <w:cnfStyle w:val="100000000000" w:firstRow="1" w:lastRow="0" w:firstColumn="0" w:lastColumn="0" w:oddVBand="0" w:evenVBand="0" w:oddHBand="0" w:evenHBand="0" w:firstRowFirstColumn="0" w:firstRowLastColumn="0" w:lastRowFirstColumn="0" w:lastRowLastColumn="0"/>
            </w:pPr>
            <w:r>
              <w:t>WA</w:t>
            </w:r>
          </w:p>
        </w:tc>
        <w:tc>
          <w:tcPr>
            <w:tcW w:w="2110" w:type="dxa"/>
            <w:vAlign w:val="center"/>
          </w:tcPr>
          <w:p w:rsidR="007F3591" w:rsidRDefault="0059012C" w:rsidP="0089081A">
            <w:pPr>
              <w:pStyle w:val="TableColumnHeadingSmall"/>
              <w:jc w:val="right"/>
              <w:cnfStyle w:val="100000000000" w:firstRow="1" w:lastRow="0" w:firstColumn="0" w:lastColumn="0" w:oddVBand="0" w:evenVBand="0" w:oddHBand="0" w:evenHBand="0" w:firstRowFirstColumn="0" w:firstRowLastColumn="0" w:lastRowFirstColumn="0" w:lastRowLastColumn="0"/>
            </w:pPr>
            <w:r>
              <w:t xml:space="preserve">2015 </w:t>
            </w:r>
            <w:r w:rsidR="007F3591">
              <w:t>Weight</w:t>
            </w:r>
          </w:p>
        </w:tc>
      </w:tr>
      <w:tr w:rsidR="007F3591" w:rsidTr="0089081A">
        <w:tc>
          <w:tcPr>
            <w:tcW w:w="2107" w:type="dxa"/>
            <w:vAlign w:val="center"/>
          </w:tcPr>
          <w:p w:rsidR="007F3591" w:rsidRDefault="007F3591" w:rsidP="0089081A">
            <w:pPr>
              <w:pStyle w:val="TableTextSmall"/>
              <w:keepNext/>
            </w:pPr>
            <w:r w:rsidRPr="006E1A94">
              <w:t>Bendigo</w:t>
            </w:r>
          </w:p>
        </w:tc>
        <w:tc>
          <w:tcPr>
            <w:tcW w:w="2110" w:type="dxa"/>
          </w:tcPr>
          <w:p w:rsidR="007F3591" w:rsidRPr="00AE7AC2" w:rsidRDefault="007F3591">
            <w:pPr>
              <w:pStyle w:val="TableTextSmall"/>
              <w:keepNext/>
              <w:jc w:val="right"/>
            </w:pPr>
            <w:r>
              <w:t>Hornfels</w:t>
            </w:r>
          </w:p>
        </w:tc>
        <w:tc>
          <w:tcPr>
            <w:tcW w:w="2110" w:type="dxa"/>
          </w:tcPr>
          <w:p w:rsidR="007F3591" w:rsidRPr="00FD022D" w:rsidRDefault="007F3591">
            <w:pPr>
              <w:pStyle w:val="TableTextSmall"/>
              <w:keepNext/>
              <w:jc w:val="right"/>
            </w:pPr>
            <w:r w:rsidRPr="00AE7AC2">
              <w:t>WA_123451</w:t>
            </w:r>
          </w:p>
        </w:tc>
        <w:tc>
          <w:tcPr>
            <w:tcW w:w="2110" w:type="dxa"/>
            <w:vAlign w:val="center"/>
          </w:tcPr>
          <w:p w:rsidR="007F3591" w:rsidRDefault="007F3591" w:rsidP="0089081A">
            <w:pPr>
              <w:pStyle w:val="TableTextSmall"/>
              <w:keepNext/>
              <w:jc w:val="right"/>
            </w:pPr>
            <w:r w:rsidRPr="00FD022D">
              <w:t>0.1</w:t>
            </w:r>
            <w:r>
              <w:t>0</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Hornfels</w:t>
            </w:r>
          </w:p>
        </w:tc>
        <w:tc>
          <w:tcPr>
            <w:tcW w:w="2110" w:type="dxa"/>
          </w:tcPr>
          <w:p w:rsidR="007F3591" w:rsidRPr="00FD022D" w:rsidRDefault="007F3591">
            <w:pPr>
              <w:pStyle w:val="TableTextSmall"/>
              <w:keepNext/>
              <w:jc w:val="right"/>
            </w:pPr>
            <w:r w:rsidRPr="00AE7AC2">
              <w:t>WA_123452</w:t>
            </w:r>
          </w:p>
        </w:tc>
        <w:tc>
          <w:tcPr>
            <w:tcW w:w="2110" w:type="dxa"/>
            <w:vAlign w:val="center"/>
          </w:tcPr>
          <w:p w:rsidR="007F3591" w:rsidRDefault="007F3591" w:rsidP="0089081A">
            <w:pPr>
              <w:pStyle w:val="TableTextSmall"/>
              <w:keepNext/>
              <w:jc w:val="right"/>
            </w:pPr>
            <w:r w:rsidRPr="00FD022D">
              <w:t>0.3</w:t>
            </w:r>
            <w:r>
              <w:t>0</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Hornfels</w:t>
            </w:r>
          </w:p>
        </w:tc>
        <w:tc>
          <w:tcPr>
            <w:tcW w:w="2110" w:type="dxa"/>
          </w:tcPr>
          <w:p w:rsidR="007F3591" w:rsidRPr="00FD022D" w:rsidRDefault="007F3591">
            <w:pPr>
              <w:pStyle w:val="TableTextSmall"/>
              <w:keepNext/>
              <w:jc w:val="right"/>
            </w:pPr>
            <w:r w:rsidRPr="00AE7AC2">
              <w:t>WA_123453</w:t>
            </w:r>
          </w:p>
        </w:tc>
        <w:tc>
          <w:tcPr>
            <w:tcW w:w="2110" w:type="dxa"/>
            <w:vAlign w:val="center"/>
          </w:tcPr>
          <w:p w:rsidR="007F3591" w:rsidRDefault="007F3591" w:rsidP="0089081A">
            <w:pPr>
              <w:pStyle w:val="TableTextSmall"/>
              <w:keepNext/>
              <w:jc w:val="right"/>
            </w:pPr>
            <w:r w:rsidRPr="00FD022D">
              <w:t>0.</w:t>
            </w:r>
            <w:r>
              <w:t>60</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Basalt new</w:t>
            </w:r>
          </w:p>
        </w:tc>
        <w:tc>
          <w:tcPr>
            <w:tcW w:w="2110" w:type="dxa"/>
          </w:tcPr>
          <w:p w:rsidR="007F3591" w:rsidRPr="00FD022D" w:rsidRDefault="007F3591">
            <w:pPr>
              <w:pStyle w:val="TableTextSmall"/>
              <w:keepNext/>
              <w:jc w:val="right"/>
            </w:pPr>
            <w:r w:rsidRPr="00AE7AC2">
              <w:t>WA_123454</w:t>
            </w:r>
          </w:p>
        </w:tc>
        <w:tc>
          <w:tcPr>
            <w:tcW w:w="2110" w:type="dxa"/>
            <w:vAlign w:val="center"/>
          </w:tcPr>
          <w:p w:rsidR="007F3591" w:rsidRDefault="007F3591" w:rsidP="0089081A">
            <w:pPr>
              <w:pStyle w:val="TableTextSmall"/>
              <w:keepNext/>
              <w:jc w:val="right"/>
            </w:pPr>
            <w:r w:rsidRPr="00FD022D">
              <w:t>0.</w:t>
            </w:r>
            <w:r>
              <w:t>30</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Basalt new</w:t>
            </w:r>
          </w:p>
        </w:tc>
        <w:tc>
          <w:tcPr>
            <w:tcW w:w="2110" w:type="dxa"/>
          </w:tcPr>
          <w:p w:rsidR="007F3591" w:rsidRPr="00FD022D" w:rsidRDefault="007F3591">
            <w:pPr>
              <w:pStyle w:val="TableTextSmall"/>
              <w:keepNext/>
              <w:jc w:val="right"/>
            </w:pPr>
            <w:r w:rsidRPr="00AE7AC2">
              <w:t>WA_123455</w:t>
            </w:r>
          </w:p>
        </w:tc>
        <w:tc>
          <w:tcPr>
            <w:tcW w:w="2110" w:type="dxa"/>
            <w:vAlign w:val="center"/>
          </w:tcPr>
          <w:p w:rsidR="007F3591" w:rsidRDefault="007F3591" w:rsidP="0089081A">
            <w:pPr>
              <w:pStyle w:val="TableTextSmall"/>
              <w:keepNext/>
              <w:jc w:val="right"/>
            </w:pPr>
            <w:r w:rsidRPr="00FD022D">
              <w:t>0.1</w:t>
            </w:r>
            <w:r>
              <w:t>0</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Basalt new</w:t>
            </w:r>
          </w:p>
        </w:tc>
        <w:tc>
          <w:tcPr>
            <w:tcW w:w="2110" w:type="dxa"/>
          </w:tcPr>
          <w:p w:rsidR="007F3591" w:rsidRPr="00FD022D" w:rsidRDefault="007F3591">
            <w:pPr>
              <w:pStyle w:val="TableTextSmall"/>
              <w:keepNext/>
              <w:jc w:val="right"/>
            </w:pPr>
            <w:r w:rsidRPr="00AE7AC2">
              <w:t>WA_123456</w:t>
            </w:r>
          </w:p>
        </w:tc>
        <w:tc>
          <w:tcPr>
            <w:tcW w:w="2110" w:type="dxa"/>
            <w:vAlign w:val="center"/>
          </w:tcPr>
          <w:p w:rsidR="007F3591" w:rsidRDefault="007F3591" w:rsidP="0089081A">
            <w:pPr>
              <w:pStyle w:val="TableTextSmall"/>
              <w:keepNext/>
              <w:jc w:val="right"/>
            </w:pPr>
            <w:r w:rsidRPr="00FD022D">
              <w:t>0.15</w:t>
            </w:r>
          </w:p>
        </w:tc>
      </w:tr>
      <w:tr w:rsidR="007F3591" w:rsidTr="0089081A">
        <w:tc>
          <w:tcPr>
            <w:tcW w:w="2107" w:type="dxa"/>
          </w:tcPr>
          <w:p w:rsidR="007F3591" w:rsidRDefault="007F3591" w:rsidP="0089081A">
            <w:pPr>
              <w:pStyle w:val="TableTextSmall"/>
              <w:keepNext/>
            </w:pPr>
            <w:r w:rsidRPr="000767AD">
              <w:t>Bendigo</w:t>
            </w:r>
          </w:p>
        </w:tc>
        <w:tc>
          <w:tcPr>
            <w:tcW w:w="2110" w:type="dxa"/>
          </w:tcPr>
          <w:p w:rsidR="007F3591" w:rsidRPr="00AE7AC2" w:rsidRDefault="007F3591">
            <w:pPr>
              <w:pStyle w:val="TableTextSmall"/>
              <w:keepNext/>
              <w:jc w:val="right"/>
            </w:pPr>
            <w:r>
              <w:t>Basalt new</w:t>
            </w:r>
          </w:p>
        </w:tc>
        <w:tc>
          <w:tcPr>
            <w:tcW w:w="2110" w:type="dxa"/>
          </w:tcPr>
          <w:p w:rsidR="007F3591" w:rsidRPr="00FD022D" w:rsidRDefault="007F3591">
            <w:pPr>
              <w:pStyle w:val="TableTextSmall"/>
              <w:keepNext/>
              <w:jc w:val="right"/>
            </w:pPr>
            <w:r w:rsidRPr="00AE7AC2">
              <w:t>WA_123457</w:t>
            </w:r>
          </w:p>
        </w:tc>
        <w:tc>
          <w:tcPr>
            <w:tcW w:w="2110" w:type="dxa"/>
            <w:vAlign w:val="center"/>
          </w:tcPr>
          <w:p w:rsidR="007F3591" w:rsidRDefault="007F3591" w:rsidP="0089081A">
            <w:pPr>
              <w:pStyle w:val="TableTextSmall"/>
              <w:keepNext/>
              <w:jc w:val="right"/>
            </w:pPr>
            <w:r w:rsidRPr="00FD022D">
              <w:t>0.</w:t>
            </w:r>
            <w:r>
              <w:t>45</w:t>
            </w:r>
          </w:p>
        </w:tc>
      </w:tr>
      <w:tr w:rsidR="00DE6FC4" w:rsidTr="007F3591">
        <w:tc>
          <w:tcPr>
            <w:tcW w:w="2107" w:type="dxa"/>
          </w:tcPr>
          <w:p w:rsidR="00DE6FC4" w:rsidRPr="000767AD" w:rsidRDefault="00DE6FC4" w:rsidP="007F3591">
            <w:pPr>
              <w:pStyle w:val="TableTextSmall"/>
              <w:keepNext/>
            </w:pPr>
            <w:r>
              <w:t>Castlemaine</w:t>
            </w:r>
          </w:p>
        </w:tc>
        <w:tc>
          <w:tcPr>
            <w:tcW w:w="2110" w:type="dxa"/>
          </w:tcPr>
          <w:p w:rsidR="00DE6FC4" w:rsidRDefault="00DE6FC4" w:rsidP="007F3591">
            <w:pPr>
              <w:pStyle w:val="TableTextSmall"/>
              <w:keepNext/>
              <w:jc w:val="right"/>
            </w:pPr>
            <w:r w:rsidRPr="00820E5C">
              <w:t>Hornfels</w:t>
            </w:r>
          </w:p>
        </w:tc>
        <w:tc>
          <w:tcPr>
            <w:tcW w:w="2110" w:type="dxa"/>
          </w:tcPr>
          <w:p w:rsidR="00DE6FC4" w:rsidRPr="00AE7AC2" w:rsidRDefault="00DE6FC4" w:rsidP="007F3591">
            <w:pPr>
              <w:pStyle w:val="TableTextSmall"/>
              <w:keepNext/>
              <w:jc w:val="right"/>
            </w:pPr>
            <w:r w:rsidRPr="00AE7AC2">
              <w:t>WA_123451</w:t>
            </w:r>
          </w:p>
        </w:tc>
        <w:tc>
          <w:tcPr>
            <w:tcW w:w="2110" w:type="dxa"/>
            <w:vAlign w:val="center"/>
          </w:tcPr>
          <w:p w:rsidR="00DE6FC4" w:rsidRPr="00FD022D" w:rsidRDefault="00DE6FC4">
            <w:pPr>
              <w:pStyle w:val="TableTextSmall"/>
              <w:keepNext/>
              <w:jc w:val="right"/>
            </w:pPr>
            <w:r>
              <w:t>0.60</w:t>
            </w:r>
          </w:p>
        </w:tc>
      </w:tr>
      <w:tr w:rsidR="00DE6FC4" w:rsidTr="007F3591">
        <w:tc>
          <w:tcPr>
            <w:tcW w:w="2107" w:type="dxa"/>
          </w:tcPr>
          <w:p w:rsidR="00DE6FC4" w:rsidRPr="000767AD" w:rsidRDefault="00DE6FC4" w:rsidP="007F3591">
            <w:pPr>
              <w:pStyle w:val="TableTextSmall"/>
              <w:keepNext/>
            </w:pPr>
            <w:r>
              <w:t>Castlemaine</w:t>
            </w:r>
          </w:p>
        </w:tc>
        <w:tc>
          <w:tcPr>
            <w:tcW w:w="2110" w:type="dxa"/>
          </w:tcPr>
          <w:p w:rsidR="00DE6FC4" w:rsidRDefault="00DE6FC4" w:rsidP="007F3591">
            <w:pPr>
              <w:pStyle w:val="TableTextSmall"/>
              <w:keepNext/>
              <w:jc w:val="right"/>
            </w:pPr>
            <w:r w:rsidRPr="00820E5C">
              <w:t>Hornfels</w:t>
            </w:r>
          </w:p>
        </w:tc>
        <w:tc>
          <w:tcPr>
            <w:tcW w:w="2110" w:type="dxa"/>
          </w:tcPr>
          <w:p w:rsidR="00DE6FC4" w:rsidRPr="00AE7AC2" w:rsidRDefault="00DE6FC4" w:rsidP="007F3591">
            <w:pPr>
              <w:pStyle w:val="TableTextSmall"/>
              <w:keepNext/>
              <w:jc w:val="right"/>
            </w:pPr>
            <w:r w:rsidRPr="00AE7AC2">
              <w:t>WA_123452</w:t>
            </w:r>
          </w:p>
        </w:tc>
        <w:tc>
          <w:tcPr>
            <w:tcW w:w="2110" w:type="dxa"/>
            <w:vAlign w:val="center"/>
          </w:tcPr>
          <w:p w:rsidR="00DE6FC4" w:rsidRPr="00FD022D" w:rsidRDefault="00DE6FC4" w:rsidP="007F3591">
            <w:pPr>
              <w:pStyle w:val="TableTextSmall"/>
              <w:keepNext/>
              <w:jc w:val="right"/>
            </w:pPr>
            <w:r>
              <w:t>0.40</w:t>
            </w:r>
          </w:p>
        </w:tc>
      </w:tr>
    </w:tbl>
    <w:p w:rsidR="007F3591" w:rsidRDefault="007F3591" w:rsidP="0089081A">
      <w:pPr>
        <w:pStyle w:val="Sources"/>
        <w:keepNext/>
      </w:pPr>
      <w:r>
        <w:t>Source: PwC analysis.</w:t>
      </w:r>
    </w:p>
    <w:p w:rsidR="0059012C" w:rsidRDefault="0059012C" w:rsidP="0089081A">
      <w:pPr>
        <w:pStyle w:val="Minorheading"/>
      </w:pPr>
      <w:r>
        <w:t>Calculation of WA production and depletion</w:t>
      </w:r>
    </w:p>
    <w:p w:rsidR="0059012C" w:rsidRDefault="0059012C">
      <w:pPr>
        <w:pStyle w:val="Minorheading3"/>
      </w:pPr>
      <w:r>
        <w:t>Demand allocation to WAs</w:t>
      </w:r>
    </w:p>
    <w:p w:rsidR="0059012C" w:rsidRDefault="0059012C" w:rsidP="0089081A">
      <w:pPr>
        <w:pStyle w:val="PwCNormal"/>
      </w:pPr>
      <w:r>
        <w:t xml:space="preserve">Using the gravity weights calculated above, optimal demand amounts for Victorian locations are attributed to the WAs to which they are matched. </w:t>
      </w:r>
    </w:p>
    <w:p w:rsidR="0059012C" w:rsidRDefault="0059012C" w:rsidP="0089081A">
      <w:pPr>
        <w:pStyle w:val="PwCNormal"/>
      </w:pPr>
      <w:r>
        <w:t xml:space="preserve">Using the example provided in </w:t>
      </w:r>
      <w:r>
        <w:fldChar w:fldCharType="begin"/>
      </w:r>
      <w:r>
        <w:instrText xml:space="preserve"> REF _Ref445830268 \h </w:instrText>
      </w:r>
      <w:r>
        <w:fldChar w:fldCharType="separate"/>
      </w:r>
      <w:r w:rsidR="00E22E13">
        <w:t xml:space="preserve">Table </w:t>
      </w:r>
      <w:r w:rsidR="00E22E13">
        <w:rPr>
          <w:noProof/>
        </w:rPr>
        <w:t>30</w:t>
      </w:r>
      <w:r>
        <w:fldChar w:fldCharType="end"/>
      </w:r>
      <w:r>
        <w:t xml:space="preserve">, if Bendigo’s demand for Hornfels in 2015 was 100 tonnes, 10 tonnes would optimally come from WA_123451 (100 x 0.10), 30 tonnes would optimally come from WA_123452 (100 x 0.30) and 60 tonnes would optimally be delivered from WA_123453 (100 x 0.60). </w:t>
      </w:r>
    </w:p>
    <w:p w:rsidR="00DE6FC4" w:rsidRDefault="00DE6FC4" w:rsidP="0089081A">
      <w:pPr>
        <w:pStyle w:val="PwCNormal"/>
      </w:pPr>
      <w:r>
        <w:t xml:space="preserve">From the WA perspective, its production is calculated as the sum of the demand it faces across all localities. Again using </w:t>
      </w:r>
      <w:r>
        <w:fldChar w:fldCharType="begin"/>
      </w:r>
      <w:r>
        <w:instrText xml:space="preserve"> REF _Ref445830268 \h </w:instrText>
      </w:r>
      <w:r>
        <w:fldChar w:fldCharType="separate"/>
      </w:r>
      <w:r w:rsidR="00E22E13">
        <w:t xml:space="preserve">Table </w:t>
      </w:r>
      <w:r w:rsidR="00E22E13">
        <w:rPr>
          <w:noProof/>
        </w:rPr>
        <w:t>30</w:t>
      </w:r>
      <w:r>
        <w:fldChar w:fldCharType="end"/>
      </w:r>
      <w:r>
        <w:t>, if Castlemaine’s demand for Hornfels in 2015 is 200 tonnes, WA_123451’s production would be the sum of 100 x 0.1 = 10 tonnes supplied to Bendigo and 200 x 0.60 = 120 tonnes supplied to Castlemaine, which is equal to 130 tonnes in total for 2015.</w:t>
      </w:r>
      <w:r>
        <w:rPr>
          <w:rStyle w:val="FootnoteReference"/>
        </w:rPr>
        <w:footnoteReference w:id="33"/>
      </w:r>
    </w:p>
    <w:p w:rsidR="00EA6153" w:rsidRDefault="00EA6153" w:rsidP="0089081A">
      <w:pPr>
        <w:pStyle w:val="Minorheading3"/>
      </w:pPr>
      <w:r>
        <w:t>Resource depletion and the emergence of supply shortfalls</w:t>
      </w:r>
    </w:p>
    <w:p w:rsidR="00EA6153" w:rsidRDefault="00EA6153" w:rsidP="003C30D0">
      <w:pPr>
        <w:pStyle w:val="PwCNormal"/>
      </w:pPr>
      <w:r>
        <w:t xml:space="preserve">The optimal demand amounts that result from the demand allocation to WAs are optimal in the sense that subject to </w:t>
      </w:r>
      <w:r w:rsidR="00581365">
        <w:t>WAs existing for that rock type</w:t>
      </w:r>
      <w:r>
        <w:t>, all demand is satisfied. We know however that resource deposits are not unlimited and that subject to strong demand, some deposits will be depleted within the forecast period.</w:t>
      </w:r>
    </w:p>
    <w:p w:rsidR="00812301" w:rsidRDefault="00EA6153" w:rsidP="007F639D">
      <w:pPr>
        <w:pStyle w:val="PwCNormal"/>
      </w:pPr>
      <w:r>
        <w:t xml:space="preserve">To calculate the rate and timing of resource depletion for each WA, its optimal demand is cumulatively summed across the analysis period and subtracted from its starting resource deposit. This assessment highlights those quarries that will be depleted before 2050, the rate at which that depletion occurs and the timing of that depletion. </w:t>
      </w:r>
    </w:p>
    <w:p w:rsidR="00AA4AEB" w:rsidRPr="0089081A" w:rsidRDefault="00AA4AEB" w:rsidP="0089081A">
      <w:pPr>
        <w:pStyle w:val="BlockText"/>
        <w:rPr>
          <w:color w:val="A32020" w:themeColor="text2"/>
          <w:sz w:val="36"/>
          <w:szCs w:val="24"/>
        </w:rPr>
      </w:pPr>
      <w:r w:rsidRPr="0089081A">
        <w:rPr>
          <w:rFonts w:eastAsia="Times New Roman" w:cs="Arial"/>
          <w:iCs w:val="0"/>
          <w:color w:val="A32020" w:themeColor="text2"/>
          <w:sz w:val="36"/>
          <w:szCs w:val="24"/>
        </w:rPr>
        <w:t>Detailed supply and demand outputs</w:t>
      </w:r>
    </w:p>
    <w:p w:rsidR="00586763" w:rsidRDefault="00AA4AEB" w:rsidP="003C30D0">
      <w:pPr>
        <w:pStyle w:val="PwCNormal"/>
      </w:pPr>
      <w:r>
        <w:t xml:space="preserve">In combination, the granular demand data matched with detailed supply </w:t>
      </w:r>
      <w:r w:rsidR="00586763">
        <w:t xml:space="preserve">information through the gravity model </w:t>
      </w:r>
      <w:r>
        <w:t>provide</w:t>
      </w:r>
      <w:r w:rsidR="00586763">
        <w:t>s</w:t>
      </w:r>
      <w:r>
        <w:t xml:space="preserve"> a comprehensive picture of the market for extractive resources in Victoria from 2015-50. </w:t>
      </w:r>
    </w:p>
    <w:p w:rsidR="00AA4AEB" w:rsidRDefault="00586763" w:rsidP="003C30D0">
      <w:pPr>
        <w:pStyle w:val="PwCNormal"/>
      </w:pPr>
      <w:r>
        <w:t>The detailed supply and demand outputs broadly comprise</w:t>
      </w:r>
      <w:r w:rsidR="00AA4AEB">
        <w:t>:</w:t>
      </w:r>
    </w:p>
    <w:p w:rsidR="00AA4AEB" w:rsidRDefault="00AA4AEB" w:rsidP="0089081A">
      <w:pPr>
        <w:pStyle w:val="ListBullet"/>
      </w:pPr>
      <w:r>
        <w:t>the resource volumes produced by year from each Victorian WA, both current and planned</w:t>
      </w:r>
    </w:p>
    <w:p w:rsidR="00AA4AEB" w:rsidRDefault="00AA4AEB" w:rsidP="0089081A">
      <w:pPr>
        <w:pStyle w:val="ListBullet"/>
      </w:pPr>
      <w:r>
        <w:t>the demand destinations to which these volumes are delivered</w:t>
      </w:r>
    </w:p>
    <w:p w:rsidR="00AA4AEB" w:rsidRDefault="00AA4AEB" w:rsidP="0089081A">
      <w:pPr>
        <w:pStyle w:val="ListBullet"/>
      </w:pPr>
      <w:r>
        <w:t xml:space="preserve">the transport distances between each WA-locality pair across the Victorian road network </w:t>
      </w:r>
    </w:p>
    <w:p w:rsidR="00AA4AEB" w:rsidRDefault="00AA4AEB" w:rsidP="0089081A">
      <w:pPr>
        <w:pStyle w:val="ListBullet"/>
      </w:pPr>
      <w:r>
        <w:t>the transport costs associated with the resource flows between each of these</w:t>
      </w:r>
    </w:p>
    <w:p w:rsidR="00AA4AEB" w:rsidRDefault="00586763" w:rsidP="0089081A">
      <w:pPr>
        <w:pStyle w:val="ListBullet"/>
      </w:pPr>
      <w:r>
        <w:t>how each WA’s resources are depleted through time</w:t>
      </w:r>
    </w:p>
    <w:p w:rsidR="00586763" w:rsidRDefault="00586763" w:rsidP="0089081A">
      <w:pPr>
        <w:pStyle w:val="ListBullet"/>
      </w:pPr>
      <w:r>
        <w:t>the extent to which each locality’s demand for resources is satisfied through time</w:t>
      </w:r>
    </w:p>
    <w:p w:rsidR="00586763" w:rsidRDefault="00586763" w:rsidP="0089081A">
      <w:pPr>
        <w:pStyle w:val="ListBullet"/>
      </w:pPr>
      <w:r>
        <w:t>the cost implications of differences between supply and demand, by location.</w:t>
      </w:r>
    </w:p>
    <w:p w:rsidR="00812301" w:rsidRDefault="00812301" w:rsidP="0089081A">
      <w:pPr>
        <w:pStyle w:val="Minorheading3"/>
      </w:pPr>
      <w:r>
        <w:t>Strategic resource determination</w:t>
      </w:r>
    </w:p>
    <w:p w:rsidR="00AA4AEB" w:rsidRDefault="00586763" w:rsidP="00586763">
      <w:pPr>
        <w:pStyle w:val="PwCNormal"/>
      </w:pPr>
      <w:r>
        <w:t xml:space="preserve">These detailed outputs are considered in the context of the </w:t>
      </w:r>
      <w:r w:rsidR="00D9705B">
        <w:t>SRD</w:t>
      </w:r>
      <w:r>
        <w:t xml:space="preserve"> Criteria, as described in </w:t>
      </w:r>
      <w:r w:rsidR="00215F1F">
        <w:t>Section 5</w:t>
      </w:r>
      <w:r>
        <w:t xml:space="preserve">, to understand </w:t>
      </w:r>
      <w:r w:rsidR="00812301">
        <w:t xml:space="preserve">which </w:t>
      </w:r>
      <w:r w:rsidR="00BA20CD">
        <w:t xml:space="preserve">rock </w:t>
      </w:r>
      <w:r w:rsidR="00812301">
        <w:t xml:space="preserve">types and resource locations </w:t>
      </w:r>
      <w:r>
        <w:t>are likely to be of strategic value to the State.</w:t>
      </w:r>
    </w:p>
    <w:p w:rsidR="00812301" w:rsidRDefault="00812301" w:rsidP="0089081A">
      <w:pPr>
        <w:pStyle w:val="Minorheading3"/>
      </w:pPr>
      <w:r>
        <w:t>Supply scenarios</w:t>
      </w:r>
    </w:p>
    <w:p w:rsidR="00586763" w:rsidRDefault="00586763" w:rsidP="003C30D0">
      <w:pPr>
        <w:pStyle w:val="PwCNormal"/>
      </w:pPr>
      <w:r>
        <w:t>Different supply-demand scenarios are also considered to provide some context around potential alternative future outcomes for the industry under a range of assumptions. These scenarios are detailed below.</w:t>
      </w:r>
    </w:p>
    <w:p w:rsidR="00812301" w:rsidRDefault="00812301">
      <w:pPr>
        <w:pStyle w:val="Minorheading"/>
      </w:pPr>
      <w:r>
        <w:br w:type="page"/>
      </w:r>
    </w:p>
    <w:p w:rsidR="003C30D0" w:rsidRPr="0089081A" w:rsidRDefault="00CE14A1" w:rsidP="0089081A">
      <w:pPr>
        <w:pStyle w:val="Minorheading"/>
        <w:rPr>
          <w:rFonts w:ascii="Georgia" w:hAnsi="Georgia"/>
          <w:b/>
          <w:sz w:val="36"/>
        </w:rPr>
      </w:pPr>
      <w:r>
        <w:rPr>
          <w:rFonts w:ascii="Georgia" w:hAnsi="Georgia"/>
          <w:b/>
          <w:sz w:val="36"/>
        </w:rPr>
        <w:t>S</w:t>
      </w:r>
      <w:r w:rsidRPr="007F639D">
        <w:rPr>
          <w:rFonts w:ascii="Georgia" w:hAnsi="Georgia"/>
          <w:b/>
          <w:sz w:val="36"/>
        </w:rPr>
        <w:t>cenario</w:t>
      </w:r>
      <w:r>
        <w:rPr>
          <w:rFonts w:ascii="Georgia" w:hAnsi="Georgia"/>
          <w:b/>
          <w:sz w:val="36"/>
        </w:rPr>
        <w:t xml:space="preserve"> analysis</w:t>
      </w:r>
    </w:p>
    <w:p w:rsidR="00CE14A1" w:rsidRDefault="00CE14A1" w:rsidP="0089081A">
      <w:pPr>
        <w:pStyle w:val="Minorheading"/>
      </w:pPr>
      <w:r>
        <w:t>Supply scenarios analysed</w:t>
      </w:r>
    </w:p>
    <w:p w:rsidR="003C30D0" w:rsidRDefault="00812301" w:rsidP="003C30D0">
      <w:pPr>
        <w:pStyle w:val="PwCNormal"/>
      </w:pPr>
      <w:r>
        <w:t>Three</w:t>
      </w:r>
      <w:r w:rsidR="003C30D0">
        <w:t xml:space="preserve"> separate supply scenarios were modelled in the supply analysis to provide a broad picture of potential future outcomes for the industry under differing assumption sets. The scenarios implemented include:</w:t>
      </w:r>
      <w:r w:rsidR="003C30D0">
        <w:rPr>
          <w:rStyle w:val="FootnoteReference"/>
        </w:rPr>
        <w:footnoteReference w:id="34"/>
      </w:r>
    </w:p>
    <w:p w:rsidR="003C30D0" w:rsidRDefault="003C30D0" w:rsidP="003C30D0">
      <w:pPr>
        <w:pStyle w:val="ChapterNumberedList1"/>
      </w:pPr>
      <w:r w:rsidRPr="007303CA">
        <w:rPr>
          <w:b/>
        </w:rPr>
        <w:t>Base case scenario</w:t>
      </w:r>
      <w:r>
        <w:t>: the base case scenario represents the central analysis scenario under core assumptions</w:t>
      </w:r>
      <w:r w:rsidR="00CE14A1">
        <w:t xml:space="preserve"> and expectations.</w:t>
      </w:r>
    </w:p>
    <w:p w:rsidR="003C30D0" w:rsidRDefault="003C30D0" w:rsidP="003C30D0">
      <w:pPr>
        <w:pStyle w:val="ChapterNumberedList1"/>
      </w:pPr>
      <w:r w:rsidRPr="007303CA">
        <w:rPr>
          <w:b/>
        </w:rPr>
        <w:t>Low supply scenario</w:t>
      </w:r>
      <w:r>
        <w:t>: under the low supply scenario</w:t>
      </w:r>
      <w:r w:rsidR="00CE14A1">
        <w:t>,</w:t>
      </w:r>
      <w:r>
        <w:t xml:space="preserve"> industry conditions deteriorate and extractive resource outputs shrinks relative to core expectations. This could be prompted by:</w:t>
      </w:r>
    </w:p>
    <w:p w:rsidR="003C30D0" w:rsidRDefault="003C30D0" w:rsidP="003C30D0">
      <w:pPr>
        <w:pStyle w:val="ChapterNumberedList2"/>
      </w:pPr>
      <w:r>
        <w:t>A poor industry outlook among participants</w:t>
      </w:r>
    </w:p>
    <w:p w:rsidR="00812301" w:rsidRDefault="003C30D0" w:rsidP="0089081A">
      <w:pPr>
        <w:pStyle w:val="ChapterNumberedList2"/>
      </w:pPr>
      <w:r>
        <w:t>Increased sterilisation of extractive resource deposits due to encroachment</w:t>
      </w:r>
    </w:p>
    <w:p w:rsidR="00812301" w:rsidRDefault="00CE14A1" w:rsidP="0089081A">
      <w:pPr>
        <w:pStyle w:val="ChapterNumberedList1"/>
        <w:numPr>
          <w:ilvl w:val="0"/>
          <w:numId w:val="0"/>
        </w:numPr>
        <w:ind w:left="567"/>
      </w:pPr>
      <w:r>
        <w:t xml:space="preserve">This scenario is implemented in the gravity model by applying a universal 20 per cent reduction in reported and calculated remaining deposit sizes in Victorian WAs. </w:t>
      </w:r>
      <w:r>
        <w:br/>
      </w:r>
      <w:r>
        <w:br/>
        <w:t xml:space="preserve">The results of this reduction are such that supply capacity in the </w:t>
      </w:r>
      <w:r w:rsidR="009069AC">
        <w:t xml:space="preserve">State </w:t>
      </w:r>
      <w:r>
        <w:t>is 20 per cent lower than under the base case, meaning resource depletions and supply shortfalls occur more quickly, all else equal.</w:t>
      </w:r>
    </w:p>
    <w:p w:rsidR="00200EF1" w:rsidRPr="00812301" w:rsidRDefault="003C30D0" w:rsidP="0089081A">
      <w:pPr>
        <w:pStyle w:val="ChapterNumberedList1"/>
      </w:pPr>
      <w:r w:rsidRPr="0089081A">
        <w:rPr>
          <w:b/>
        </w:rPr>
        <w:t>Medium (redistribution) supply scenario:</w:t>
      </w:r>
      <w:r w:rsidRPr="007F639D">
        <w:t xml:space="preserve"> under this scenario, new work authority applications are assumed to be lodged for sites in close proximity to existing work authorities rather than the sites nominated by respondents in the survey. This leads to a redistribution of future resource</w:t>
      </w:r>
      <w:r w:rsidRPr="008837A4">
        <w:t xml:space="preserve"> deposits with implications for market outcomes across the analysis period.</w:t>
      </w:r>
      <w:r>
        <w:br/>
      </w:r>
      <w:r>
        <w:br/>
      </w:r>
      <w:r w:rsidRPr="007F639D">
        <w:t xml:space="preserve">This scenario has been implemented on the basis of discussions with industry operators, which point to the fact that locations proximal to existing known resources are likely </w:t>
      </w:r>
      <w:r w:rsidRPr="008837A4">
        <w:t xml:space="preserve">to be identified for </w:t>
      </w:r>
      <w:r w:rsidR="008409D7">
        <w:t xml:space="preserve">development of </w:t>
      </w:r>
      <w:r w:rsidRPr="008837A4">
        <w:t xml:space="preserve">future </w:t>
      </w:r>
      <w:r w:rsidR="008409D7">
        <w:t>quarries</w:t>
      </w:r>
      <w:r w:rsidRPr="008837A4">
        <w:t>.</w:t>
      </w:r>
      <w:r w:rsidR="00812301" w:rsidRPr="00812301">
        <w:t xml:space="preserve"> </w:t>
      </w:r>
    </w:p>
    <w:p w:rsidR="00200EF1" w:rsidRDefault="00CE14A1" w:rsidP="0089081A">
      <w:pPr>
        <w:pStyle w:val="Minorheading"/>
      </w:pPr>
      <w:r>
        <w:t>Demand scenarios analysed</w:t>
      </w:r>
    </w:p>
    <w:p w:rsidR="008D36B8" w:rsidRDefault="008D36B8" w:rsidP="00200EF1">
      <w:pPr>
        <w:pStyle w:val="PwCNormal"/>
      </w:pPr>
      <w:r>
        <w:t xml:space="preserve">The associated demand analysis similarly considered a set of future scenarios and their implications for the future demand for extractive resources in Victoria. These are listed along with informing assumptions associated results in the demand report, which forms </w:t>
      </w:r>
      <w:r w:rsidR="00DD42BF">
        <w:t xml:space="preserve">Appendix </w:t>
      </w:r>
      <w:r w:rsidR="00215F1F">
        <w:t>F</w:t>
      </w:r>
      <w:r w:rsidR="00DD42BF">
        <w:t xml:space="preserve"> </w:t>
      </w:r>
      <w:r>
        <w:t>to this report.</w:t>
      </w:r>
    </w:p>
    <w:p w:rsidR="00200EF1" w:rsidRDefault="008D36B8" w:rsidP="00200EF1">
      <w:pPr>
        <w:pStyle w:val="PwCNormal"/>
      </w:pPr>
      <w:r>
        <w:t xml:space="preserve">Several of these scenarios were assessed in combination with the above supply scenarios to form the following integrated supply-demand scenarios. </w:t>
      </w:r>
    </w:p>
    <w:p w:rsidR="008D36B8" w:rsidRDefault="008D36B8" w:rsidP="0089081A">
      <w:pPr>
        <w:pStyle w:val="Minorheading"/>
      </w:pPr>
      <w:r>
        <w:t>Integrated supply-demand scenarios</w:t>
      </w:r>
    </w:p>
    <w:p w:rsidR="008D36B8" w:rsidRDefault="00772661" w:rsidP="0089081A">
      <w:pPr>
        <w:pStyle w:val="PwCNormal"/>
      </w:pPr>
      <w:r>
        <w:t xml:space="preserve">A set of integrated supply-demand scenarios was assessed as part of this study to provide an indication of potential future outcomes for extractive resources in Victoria. To form these integrated scenarios, the considered supply scenarios were matched up with appropriate demand scenarios based on the likelihood that each could occur and whether the associated results </w:t>
      </w:r>
      <w:r w:rsidR="006B2724">
        <w:t xml:space="preserve">of the matching </w:t>
      </w:r>
      <w:r>
        <w:t xml:space="preserve">were likely to provide </w:t>
      </w:r>
      <w:r w:rsidR="006B2724">
        <w:t>a valuable counterpoint to the base case results.</w:t>
      </w:r>
    </w:p>
    <w:p w:rsidR="006B2724" w:rsidRDefault="006B2724" w:rsidP="0089081A">
      <w:pPr>
        <w:pStyle w:val="PwCNormal"/>
      </w:pPr>
    </w:p>
    <w:p w:rsidR="007F639D" w:rsidRDefault="006B2724" w:rsidP="007F639D">
      <w:pPr>
        <w:pStyle w:val="PwCNormal"/>
      </w:pPr>
      <w:r>
        <w:t>The integrated supply-demand scenarios con</w:t>
      </w:r>
      <w:r w:rsidR="007F639D">
        <w:t xml:space="preserve">sidered are listed in </w:t>
      </w:r>
      <w:r w:rsidR="006F4007">
        <w:fldChar w:fldCharType="begin"/>
      </w:r>
      <w:r w:rsidR="006F4007">
        <w:instrText xml:space="preserve"> REF _Ref445904433 \h </w:instrText>
      </w:r>
      <w:r w:rsidR="006F4007">
        <w:fldChar w:fldCharType="separate"/>
      </w:r>
      <w:r w:rsidR="00E22E13">
        <w:t xml:space="preserve">Table </w:t>
      </w:r>
      <w:r w:rsidR="00E22E13">
        <w:rPr>
          <w:noProof/>
        </w:rPr>
        <w:t>31</w:t>
      </w:r>
      <w:r w:rsidR="006F4007">
        <w:fldChar w:fldCharType="end"/>
      </w:r>
      <w:r w:rsidR="006F4007">
        <w:t>.</w:t>
      </w:r>
    </w:p>
    <w:p w:rsidR="006F4007" w:rsidRDefault="006F4007" w:rsidP="0089081A">
      <w:pPr>
        <w:pStyle w:val="Caption"/>
      </w:pPr>
      <w:bookmarkStart w:id="390" w:name="_Ref445904433"/>
      <w:r>
        <w:t xml:space="preserve">Table </w:t>
      </w:r>
      <w:fldSimple w:instr=" SEQ Table \* ARABIC ">
        <w:r w:rsidR="00E22E13">
          <w:rPr>
            <w:noProof/>
          </w:rPr>
          <w:t>31</w:t>
        </w:r>
      </w:fldSimple>
      <w:bookmarkEnd w:id="390"/>
      <w:r>
        <w:t>: Overview of the integ</w:t>
      </w:r>
      <w:r>
        <w:rPr>
          <w:noProof/>
        </w:rPr>
        <w:t>rated supply-demand scenarios*</w:t>
      </w:r>
    </w:p>
    <w:tbl>
      <w:tblPr>
        <w:tblStyle w:val="Tables-APBase"/>
        <w:tblW w:w="5000" w:type="pct"/>
        <w:tblLook w:val="04A0" w:firstRow="1" w:lastRow="0" w:firstColumn="1" w:lastColumn="0" w:noHBand="0" w:noVBand="1"/>
        <w:tblCaption w:val="Table 31"/>
        <w:tblDescription w:val="Table 31 is an overview of the integrated supply-demand scenarios. Integrated supply-demand scenario 1 combines the baseline demand scenario with the base case supply scenario. It reflects the most likely future outcomes based on core assumptions, expectations and survey responses.  Integrated supply-demand scenario 2 combines the 1a(High) demand scenario with the base case supply scenario.  It is described as: Potential supply capacity Is unchanged but demand is 20 per cent stronger than expected under the base case. The scenario captures the potential future outcome where significant demand is expected but supply does not lift accordingly.  Integrated supply-demand scenario 3 combines the 3a(Medium – Infill) demand scenario with the base case supply scenario. It is described as: Potential supply capacity is unchanged, however the distribution of demand is different to the base case. More demand is expected in urban infill areas and less in urban growth regions. This scenario is expected to demonstrate how a changed future growth profile toward greater urban infill for Melbourne could impact on extractives markets.  Integrated supply-demand scenario 4 combines the baseline demand scenario with the low supply scenario.  It is described as: Supply faces greater constraints than under the base case with demand at baseline levels. Scenario 4 assesses the extent to which demand can be met in the future in Victoria where supply is constrained, and examines how this plays out in resource locations across the State.  Integrated supply-demand scenario 5 combines the 1a(High) demand scenario with the low supply scenario. It is described as: Supply capacity is reduced; demand is 20 per cent stronger than expected under the base case. Scenario 5 is an ‘extreme’ case where constrained supply is expected to struggle to match strong future demand for extractives in the State.  Integrated supply-demand scenario 6 combines the 3b (Medium – Growth area) demand scenario with the base case supply scenario. It is described as: Potential supply capacity is unchanged, however the distribution of demand is different to the base case. More demand is expected in urban growth areas and less in urban infill regions, capturing a scenario where Melbourne grows at a greater rate in fringe areas relative to current projections and infill development is lower.  Integrated supply-demand scenario 7 combines the baseline demand scenario with the Medium - redistribution supply scenario. It is described as: Demand is at baseline levels. The distribution of supply is changed; new resource deposits are assumed to be licensed in different areas to those modelled under the supply base case. Scenario 7 examines how a different future distribution of planned future quarries could impact on extractives markets in Victoria."/>
      </w:tblPr>
      <w:tblGrid>
        <w:gridCol w:w="1101"/>
        <w:gridCol w:w="1560"/>
        <w:gridCol w:w="1699"/>
        <w:gridCol w:w="4077"/>
      </w:tblGrid>
      <w:tr w:rsidR="007F639D"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2" w:type="pct"/>
          </w:tcPr>
          <w:p w:rsidR="007F639D" w:rsidRDefault="007F639D" w:rsidP="006916CE">
            <w:pPr>
              <w:pStyle w:val="TableColumnHeadingSmall"/>
            </w:pPr>
            <w:r>
              <w:t>Integrated supply-demand scenario</w:t>
            </w:r>
          </w:p>
        </w:tc>
        <w:tc>
          <w:tcPr>
            <w:tcW w:w="924" w:type="pct"/>
          </w:tcPr>
          <w:p w:rsidR="007F639D" w:rsidRDefault="007F639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t>Demand scenario</w:t>
            </w:r>
          </w:p>
        </w:tc>
        <w:tc>
          <w:tcPr>
            <w:tcW w:w="1007" w:type="pct"/>
          </w:tcPr>
          <w:p w:rsidR="007F639D" w:rsidRDefault="007F639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t>Supply scenario</w:t>
            </w:r>
          </w:p>
        </w:tc>
        <w:tc>
          <w:tcPr>
            <w:tcW w:w="2416" w:type="pct"/>
          </w:tcPr>
          <w:p w:rsidR="007F639D" w:rsidRDefault="007F639D" w:rsidP="006916CE">
            <w:pPr>
              <w:pStyle w:val="TableColumnHeadingSmall"/>
              <w:jc w:val="left"/>
              <w:cnfStyle w:val="100000000000" w:firstRow="1" w:lastRow="0" w:firstColumn="0" w:lastColumn="0" w:oddVBand="0" w:evenVBand="0" w:oddHBand="0" w:evenHBand="0" w:firstRowFirstColumn="0" w:firstRowLastColumn="0" w:lastRowFirstColumn="0" w:lastRowLastColumn="0"/>
            </w:pPr>
            <w:r>
              <w:t>Description</w:t>
            </w:r>
          </w:p>
        </w:tc>
      </w:tr>
      <w:tr w:rsidR="00417D11" w:rsidTr="006916CE">
        <w:tc>
          <w:tcPr>
            <w:tcW w:w="652" w:type="pct"/>
            <w:vAlign w:val="center"/>
          </w:tcPr>
          <w:p w:rsidR="00417D11" w:rsidRDefault="00417D11" w:rsidP="0089081A">
            <w:pPr>
              <w:pStyle w:val="TableTextSmall"/>
              <w:jc w:val="center"/>
            </w:pPr>
            <w:r>
              <w:t>1</w:t>
            </w:r>
          </w:p>
        </w:tc>
        <w:tc>
          <w:tcPr>
            <w:tcW w:w="924" w:type="pct"/>
            <w:vAlign w:val="center"/>
          </w:tcPr>
          <w:p w:rsidR="00417D11" w:rsidRDefault="00417D11" w:rsidP="0089081A">
            <w:pPr>
              <w:pStyle w:val="TableTextSmall"/>
            </w:pPr>
            <w:r>
              <w:t>Baseline</w:t>
            </w:r>
          </w:p>
        </w:tc>
        <w:tc>
          <w:tcPr>
            <w:tcW w:w="1007" w:type="pct"/>
            <w:vAlign w:val="center"/>
          </w:tcPr>
          <w:p w:rsidR="00417D11" w:rsidRDefault="00417D11" w:rsidP="0089081A">
            <w:pPr>
              <w:pStyle w:val="TableTextSmall"/>
            </w:pPr>
            <w:r>
              <w:t>Base case</w:t>
            </w:r>
          </w:p>
        </w:tc>
        <w:tc>
          <w:tcPr>
            <w:tcW w:w="2416" w:type="pct"/>
          </w:tcPr>
          <w:p w:rsidR="00417D11" w:rsidRDefault="00417D11" w:rsidP="0089081A">
            <w:pPr>
              <w:pStyle w:val="TableTextSmall"/>
            </w:pPr>
            <w:r>
              <w:t>Reflects the most likely future outcomes based on core assumptions, expectations and survey responses</w:t>
            </w:r>
          </w:p>
        </w:tc>
      </w:tr>
      <w:tr w:rsidR="00417D11" w:rsidTr="006916CE">
        <w:tc>
          <w:tcPr>
            <w:tcW w:w="652" w:type="pct"/>
            <w:vAlign w:val="center"/>
          </w:tcPr>
          <w:p w:rsidR="00417D11" w:rsidRDefault="00417D11" w:rsidP="0089081A">
            <w:pPr>
              <w:pStyle w:val="TableTextSmall"/>
              <w:jc w:val="center"/>
            </w:pPr>
            <w:r>
              <w:t>2</w:t>
            </w:r>
          </w:p>
        </w:tc>
        <w:tc>
          <w:tcPr>
            <w:tcW w:w="924" w:type="pct"/>
            <w:vAlign w:val="center"/>
          </w:tcPr>
          <w:p w:rsidR="00417D11" w:rsidRDefault="00417D11" w:rsidP="0089081A">
            <w:pPr>
              <w:pStyle w:val="TableTextSmall"/>
            </w:pPr>
            <w:r>
              <w:t>1a (High)</w:t>
            </w:r>
          </w:p>
        </w:tc>
        <w:tc>
          <w:tcPr>
            <w:tcW w:w="1007" w:type="pct"/>
            <w:vAlign w:val="center"/>
          </w:tcPr>
          <w:p w:rsidR="00417D11" w:rsidRDefault="00417D11" w:rsidP="0089081A">
            <w:pPr>
              <w:pStyle w:val="TableTextSmall"/>
            </w:pPr>
            <w:r>
              <w:t>Base case</w:t>
            </w:r>
          </w:p>
        </w:tc>
        <w:tc>
          <w:tcPr>
            <w:tcW w:w="2416" w:type="pct"/>
          </w:tcPr>
          <w:p w:rsidR="00417D11" w:rsidRDefault="00417D11" w:rsidP="0089081A">
            <w:pPr>
              <w:pStyle w:val="TableTextSmall"/>
            </w:pPr>
            <w:r>
              <w:t xml:space="preserve">Potential supply capacity </w:t>
            </w:r>
            <w:r w:rsidR="00BE0EF4">
              <w:t>is</w:t>
            </w:r>
            <w:r>
              <w:t xml:space="preserve"> unchanged but demand is 20 per cent stronger than expected under the base case. The scenario captures the potential future outcome where significant demand is expected but supply does not lift accordingly. </w:t>
            </w:r>
          </w:p>
        </w:tc>
      </w:tr>
      <w:tr w:rsidR="00417D11" w:rsidTr="006916CE">
        <w:tc>
          <w:tcPr>
            <w:tcW w:w="652" w:type="pct"/>
            <w:vAlign w:val="center"/>
          </w:tcPr>
          <w:p w:rsidR="00417D11" w:rsidRDefault="00417D11" w:rsidP="0089081A">
            <w:pPr>
              <w:pStyle w:val="TableTextSmall"/>
              <w:jc w:val="center"/>
            </w:pPr>
            <w:r>
              <w:t>3</w:t>
            </w:r>
          </w:p>
        </w:tc>
        <w:tc>
          <w:tcPr>
            <w:tcW w:w="924" w:type="pct"/>
            <w:vAlign w:val="center"/>
          </w:tcPr>
          <w:p w:rsidR="00417D11" w:rsidRDefault="00417D11" w:rsidP="0089081A">
            <w:pPr>
              <w:pStyle w:val="TableTextSmall"/>
            </w:pPr>
            <w:r>
              <w:t>3a (Medium – Infill)</w:t>
            </w:r>
          </w:p>
        </w:tc>
        <w:tc>
          <w:tcPr>
            <w:tcW w:w="1007" w:type="pct"/>
            <w:vAlign w:val="center"/>
          </w:tcPr>
          <w:p w:rsidR="00417D11" w:rsidRDefault="00417D11" w:rsidP="0089081A">
            <w:pPr>
              <w:pStyle w:val="TableTextSmall"/>
            </w:pPr>
            <w:r>
              <w:t>Base case</w:t>
            </w:r>
          </w:p>
        </w:tc>
        <w:tc>
          <w:tcPr>
            <w:tcW w:w="2416" w:type="pct"/>
          </w:tcPr>
          <w:p w:rsidR="00417D11" w:rsidRDefault="00417D11" w:rsidP="0089081A">
            <w:pPr>
              <w:pStyle w:val="TableTextSmall"/>
            </w:pPr>
            <w:r>
              <w:t xml:space="preserve">Potential supply capacity is </w:t>
            </w:r>
            <w:r w:rsidR="00CE2E61">
              <w:t>unchanged;</w:t>
            </w:r>
            <w:r>
              <w:t xml:space="preserve"> however the distribution of demand is different to </w:t>
            </w:r>
            <w:r w:rsidR="00BE0EF4">
              <w:t xml:space="preserve">the </w:t>
            </w:r>
            <w:r>
              <w:t xml:space="preserve">base case. More demand is expected in urban infill areas and less in urban growth regions. This scenario is expected to demonstrate how a changed future growth profile toward greater urban infill for Melbourne could impact on extractives markets. </w:t>
            </w:r>
          </w:p>
        </w:tc>
      </w:tr>
      <w:tr w:rsidR="00417D11" w:rsidTr="006916CE">
        <w:tc>
          <w:tcPr>
            <w:tcW w:w="652" w:type="pct"/>
            <w:vAlign w:val="center"/>
          </w:tcPr>
          <w:p w:rsidR="00417D11" w:rsidRDefault="00417D11" w:rsidP="0089081A">
            <w:pPr>
              <w:pStyle w:val="TableTextSmall"/>
              <w:jc w:val="center"/>
            </w:pPr>
            <w:r>
              <w:t>4</w:t>
            </w:r>
          </w:p>
        </w:tc>
        <w:tc>
          <w:tcPr>
            <w:tcW w:w="924" w:type="pct"/>
            <w:vAlign w:val="center"/>
          </w:tcPr>
          <w:p w:rsidR="00417D11" w:rsidRDefault="00417D11" w:rsidP="0089081A">
            <w:pPr>
              <w:pStyle w:val="TableTextSmall"/>
            </w:pPr>
            <w:r>
              <w:t>Baseline</w:t>
            </w:r>
          </w:p>
        </w:tc>
        <w:tc>
          <w:tcPr>
            <w:tcW w:w="1007" w:type="pct"/>
            <w:vAlign w:val="center"/>
          </w:tcPr>
          <w:p w:rsidR="00417D11" w:rsidRDefault="00417D11" w:rsidP="0089081A">
            <w:pPr>
              <w:pStyle w:val="TableTextSmall"/>
            </w:pPr>
            <w:r>
              <w:t>Low</w:t>
            </w:r>
          </w:p>
        </w:tc>
        <w:tc>
          <w:tcPr>
            <w:tcW w:w="2416" w:type="pct"/>
          </w:tcPr>
          <w:p w:rsidR="00417D11" w:rsidRDefault="00417D11" w:rsidP="0089081A">
            <w:pPr>
              <w:pStyle w:val="TableTextSmall"/>
            </w:pPr>
            <w:r>
              <w:t xml:space="preserve">Supply faces greater constraints than under the base case with demand at baseline levels. Scenario 4 assesses the extent to which demand can be met in the future in Victoria where supply is constrained, and examines how this plays out in resource locations across the State. </w:t>
            </w:r>
          </w:p>
        </w:tc>
      </w:tr>
      <w:tr w:rsidR="00417D11" w:rsidTr="006916CE">
        <w:tc>
          <w:tcPr>
            <w:tcW w:w="652" w:type="pct"/>
            <w:vAlign w:val="center"/>
          </w:tcPr>
          <w:p w:rsidR="00417D11" w:rsidRDefault="00417D11" w:rsidP="0089081A">
            <w:pPr>
              <w:pStyle w:val="TableTextSmall"/>
              <w:jc w:val="center"/>
            </w:pPr>
            <w:r>
              <w:t>5</w:t>
            </w:r>
          </w:p>
        </w:tc>
        <w:tc>
          <w:tcPr>
            <w:tcW w:w="924" w:type="pct"/>
            <w:vAlign w:val="center"/>
          </w:tcPr>
          <w:p w:rsidR="00417D11" w:rsidRDefault="00417D11" w:rsidP="0089081A">
            <w:pPr>
              <w:pStyle w:val="TableTextSmall"/>
            </w:pPr>
            <w:r>
              <w:t>1a (High)</w:t>
            </w:r>
          </w:p>
        </w:tc>
        <w:tc>
          <w:tcPr>
            <w:tcW w:w="1007" w:type="pct"/>
            <w:vAlign w:val="center"/>
          </w:tcPr>
          <w:p w:rsidR="00417D11" w:rsidRDefault="00417D11" w:rsidP="0089081A">
            <w:pPr>
              <w:pStyle w:val="TableTextSmall"/>
            </w:pPr>
            <w:r>
              <w:t>Low</w:t>
            </w:r>
          </w:p>
        </w:tc>
        <w:tc>
          <w:tcPr>
            <w:tcW w:w="2416" w:type="pct"/>
          </w:tcPr>
          <w:p w:rsidR="00417D11" w:rsidRDefault="00417D11" w:rsidP="0089081A">
            <w:pPr>
              <w:pStyle w:val="TableTextSmall"/>
            </w:pPr>
            <w:r>
              <w:t>Supply capacity is reduced; demand is 20 per cent stronger than expected under the base case. Scenario 5 is an ‘extreme’ case where constrained supply is expected to struggle to match strong future demand for extractives in the State.</w:t>
            </w:r>
          </w:p>
        </w:tc>
      </w:tr>
      <w:tr w:rsidR="00417D11" w:rsidTr="006916CE">
        <w:tc>
          <w:tcPr>
            <w:tcW w:w="652" w:type="pct"/>
            <w:vAlign w:val="center"/>
          </w:tcPr>
          <w:p w:rsidR="00417D11" w:rsidRDefault="00417D11" w:rsidP="0089081A">
            <w:pPr>
              <w:pStyle w:val="TableTextSmall"/>
              <w:jc w:val="center"/>
            </w:pPr>
            <w:r>
              <w:t>6</w:t>
            </w:r>
          </w:p>
        </w:tc>
        <w:tc>
          <w:tcPr>
            <w:tcW w:w="924" w:type="pct"/>
            <w:vAlign w:val="center"/>
          </w:tcPr>
          <w:p w:rsidR="00417D11" w:rsidRDefault="00417D11" w:rsidP="0089081A">
            <w:pPr>
              <w:pStyle w:val="TableTextSmall"/>
            </w:pPr>
            <w:r>
              <w:t>3b (Medium – Growth area)</w:t>
            </w:r>
          </w:p>
        </w:tc>
        <w:tc>
          <w:tcPr>
            <w:tcW w:w="1007" w:type="pct"/>
            <w:vAlign w:val="center"/>
          </w:tcPr>
          <w:p w:rsidR="00417D11" w:rsidRDefault="00417D11" w:rsidP="0089081A">
            <w:pPr>
              <w:pStyle w:val="TableTextSmall"/>
            </w:pPr>
            <w:r>
              <w:t>Base case</w:t>
            </w:r>
          </w:p>
        </w:tc>
        <w:tc>
          <w:tcPr>
            <w:tcW w:w="2416" w:type="pct"/>
          </w:tcPr>
          <w:p w:rsidR="00417D11" w:rsidRDefault="00417D11" w:rsidP="0089081A">
            <w:pPr>
              <w:pStyle w:val="TableTextSmall"/>
            </w:pPr>
            <w:r>
              <w:t xml:space="preserve">Potential supply capacity is </w:t>
            </w:r>
            <w:r w:rsidR="00CE2E61">
              <w:t>unchanged;</w:t>
            </w:r>
            <w:r>
              <w:t xml:space="preserve"> however the distribution of demand is different to the base case. More demand is expected in urban growth areas and less in urban infill regions, capturing a scenario where Melbourne grows at a greater rate in fringe areas relative to current projections and infill development is lower. </w:t>
            </w:r>
          </w:p>
        </w:tc>
      </w:tr>
      <w:tr w:rsidR="00417D11" w:rsidTr="006916CE">
        <w:tc>
          <w:tcPr>
            <w:tcW w:w="652" w:type="pct"/>
            <w:vAlign w:val="center"/>
          </w:tcPr>
          <w:p w:rsidR="00417D11" w:rsidRDefault="00417D11" w:rsidP="0089081A">
            <w:pPr>
              <w:pStyle w:val="TableTextSmall"/>
              <w:jc w:val="center"/>
            </w:pPr>
            <w:r>
              <w:t>7</w:t>
            </w:r>
          </w:p>
        </w:tc>
        <w:tc>
          <w:tcPr>
            <w:tcW w:w="924" w:type="pct"/>
            <w:vAlign w:val="center"/>
          </w:tcPr>
          <w:p w:rsidR="00417D11" w:rsidRDefault="00417D11" w:rsidP="0089081A">
            <w:pPr>
              <w:pStyle w:val="TableTextSmall"/>
            </w:pPr>
            <w:r>
              <w:t>Baseline</w:t>
            </w:r>
          </w:p>
        </w:tc>
        <w:tc>
          <w:tcPr>
            <w:tcW w:w="1007" w:type="pct"/>
            <w:vAlign w:val="center"/>
          </w:tcPr>
          <w:p w:rsidR="00417D11" w:rsidRDefault="00417D11" w:rsidP="0089081A">
            <w:pPr>
              <w:pStyle w:val="TableTextSmall"/>
            </w:pPr>
            <w:r>
              <w:t>Medium - redistribution</w:t>
            </w:r>
          </w:p>
        </w:tc>
        <w:tc>
          <w:tcPr>
            <w:tcW w:w="2416" w:type="pct"/>
          </w:tcPr>
          <w:p w:rsidR="00417D11" w:rsidRDefault="00417D11" w:rsidP="0089081A">
            <w:pPr>
              <w:pStyle w:val="TableTextSmall"/>
            </w:pPr>
            <w:r>
              <w:t>Demand is at baseline levels. The distribution of supply is changed; new resource deposits are assumed to be licensed in different areas to those modelled under the supply base case. Scenario 7 examines how a different future distribution of planned future quarries could impact on extractives markets in Victoria.</w:t>
            </w:r>
          </w:p>
        </w:tc>
      </w:tr>
    </w:tbl>
    <w:p w:rsidR="007F639D" w:rsidRDefault="006F4007" w:rsidP="0089081A">
      <w:pPr>
        <w:pStyle w:val="Sources"/>
      </w:pPr>
      <w:r>
        <w:t xml:space="preserve">Source: PwC. *Details on the demand scenarios assumptions and results can be found in </w:t>
      </w:r>
      <w:r w:rsidR="00DD42BF">
        <w:t>Appendix G.</w:t>
      </w:r>
    </w:p>
    <w:p w:rsidR="00737A6C" w:rsidRPr="00737A6C" w:rsidRDefault="00737A6C" w:rsidP="0089081A">
      <w:pPr>
        <w:pStyle w:val="PwCNormal"/>
        <w:sectPr w:rsidR="00737A6C" w:rsidRPr="00737A6C" w:rsidSect="001A7D05">
          <w:pgSz w:w="11907" w:h="16840" w:code="9"/>
          <w:pgMar w:top="1588" w:right="1843" w:bottom="1418" w:left="1843" w:header="567" w:footer="567" w:gutter="0"/>
          <w:cols w:space="227"/>
          <w:titlePg/>
          <w:docGrid w:linePitch="360"/>
        </w:sectPr>
      </w:pPr>
    </w:p>
    <w:p w:rsidR="00876095" w:rsidRDefault="00876095" w:rsidP="006916CE">
      <w:pPr>
        <w:pStyle w:val="Heading4"/>
        <w:numPr>
          <w:ilvl w:val="4"/>
          <w:numId w:val="69"/>
        </w:numPr>
      </w:pPr>
      <w:bookmarkStart w:id="391" w:name="_Toc447628752"/>
      <w:bookmarkStart w:id="392" w:name="_Toc447630222"/>
      <w:bookmarkStart w:id="393" w:name="_Toc448153189"/>
      <w:bookmarkStart w:id="394" w:name="_Toc448917123"/>
      <w:bookmarkStart w:id="395" w:name="_Toc448925135"/>
      <w:bookmarkStart w:id="396" w:name="_Ref448930804"/>
      <w:bookmarkStart w:id="397" w:name="_Toc448935474"/>
      <w:bookmarkStart w:id="398" w:name="_Toc448936093"/>
      <w:bookmarkStart w:id="399" w:name="_Toc449603862"/>
      <w:bookmarkStart w:id="400" w:name="_Toc449603928"/>
      <w:bookmarkStart w:id="401" w:name="_Toc449949937"/>
      <w:bookmarkStart w:id="402" w:name="_Toc449960263"/>
      <w:bookmarkStart w:id="403" w:name="_Toc451239541"/>
      <w:bookmarkStart w:id="404" w:name="_Toc451239547"/>
      <w:r>
        <w:t>Strategic Resource Determination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tbl>
      <w:tblPr>
        <w:tblStyle w:val="Tables-APBase"/>
        <w:tblW w:w="0" w:type="auto"/>
        <w:tblLayout w:type="fixed"/>
        <w:tblLook w:val="04A0" w:firstRow="1" w:lastRow="0" w:firstColumn="1" w:lastColumn="0" w:noHBand="0" w:noVBand="1"/>
        <w:tblCaption w:val="Appendix D"/>
        <w:tblDescription w:val="Appendix D is a table of the strategic resource determination criteria. Criterion 1 is threatened resource types. It identifies particular extractive resources that are in short supply in the state relative to the level of projected demand. Identification of known locations of these resources will also be undertaken. This criterion will consider the potential substitutability of resources in considering which particular extractive resources could be subject to strong price pressures in future. It is measured as those resources with less than 5 years of supply from current and planned future licensed reserves are identified under this criterion. Criterion 2 is key supply locations where significant depletion of resources is anticipated. It identifies locations in Victoria subject to significant exhaustion of current and planned future licensed reserves across the analysis period. The high exhaustion rate occurring in these locations indicates that they receive high levels of allocated demand, which suggests that they are well suited geographically to delivering extractive resources support Victoria’s development. Thresholds applied under Criterion 2 are different for each rock type: For hard rock it is a cumulative production shortfall of greater than 700,000 tonnes between 2015-50. For sand and gravel it is a cumulative production shortfall of greater than 500,000 tonnes between 2015-50. For limestone it is a cumulative production shortfall of greater than 2 million tonnes between 2015-50. For clay and clay shale it is a positive cumulative production shortfall between 2015-50. Criterion 3 is Significant production - Locations that produce significant volumes of extractive resources. This criterion identifies those locations that deliver large volumes of extractive resources across the analysis period. This criterion points to the Victorian locations which could be considered for protection of existing resources to support the State’s development. Again, the thresholds for this criterion differ by rock type. For hard rock it is a supply volume of 1 million tonnes or greater in 2050. For sand and gravel it is a positive supply volume of 400 thousand tonnes or greater in 2050. For limestone it is a positive supply volume in 2050. For clay and clay shale it is a positive supply volume in 2050. Criterion 4 is supply locations critical to supporting Greater Melbourne’s future.  It identifies particular extractive resources that are in short supply in the State relative to the level of projected demand. Identification of known locations of these resources will also be undertaken. This criterion will consider the potential substitutability of resources in considering which particular extractive resources could be subject to strong price pressures in future.  This criterion was chosen to aid in identification of those supply locations critical to Greater Melbourne’s future development. The outputs of this criterion are expected to help to inform planning arrangements supporting the city’s growth. A threshold was applied consistently across rock types under this criterion. Resource locations were identified on the basis that they supplied at least one per cent of the total State supply to Greater Melbourne in relation to residential and commercial construction demand, for a particular rock type.&#10;&#10;"/>
      </w:tblPr>
      <w:tblGrid>
        <w:gridCol w:w="392"/>
        <w:gridCol w:w="1984"/>
        <w:gridCol w:w="5359"/>
        <w:gridCol w:w="5414"/>
      </w:tblGrid>
      <w:tr w:rsidR="00DC4F9E" w:rsidRPr="00DC4F9E" w:rsidTr="006916CE">
        <w:trPr>
          <w:cnfStyle w:val="100000000000" w:firstRow="1" w:lastRow="0" w:firstColumn="0" w:lastColumn="0" w:oddVBand="0" w:evenVBand="0" w:oddHBand="0" w:evenHBand="0" w:firstRowFirstColumn="0" w:firstRowLastColumn="0" w:lastRowFirstColumn="0" w:lastRowLastColumn="0"/>
          <w:cantSplit/>
          <w:trHeight w:val="230"/>
        </w:trPr>
        <w:tc>
          <w:tcPr>
            <w:cnfStyle w:val="000000000100" w:firstRow="0" w:lastRow="0" w:firstColumn="0" w:lastColumn="0" w:oddVBand="0" w:evenVBand="0" w:oddHBand="0" w:evenHBand="0" w:firstRowFirstColumn="1" w:firstRowLastColumn="0" w:lastRowFirstColumn="0" w:lastRowLastColumn="0"/>
            <w:tcW w:w="392" w:type="dxa"/>
          </w:tcPr>
          <w:p w:rsidR="00DC4F9E" w:rsidRPr="006916CE" w:rsidRDefault="00DC4F9E" w:rsidP="00B75D81">
            <w:pPr>
              <w:pStyle w:val="BodyText"/>
            </w:pPr>
          </w:p>
        </w:tc>
        <w:tc>
          <w:tcPr>
            <w:tcW w:w="1984" w:type="dxa"/>
          </w:tcPr>
          <w:p w:rsidR="00DC4F9E" w:rsidRPr="006916CE" w:rsidRDefault="00DC4F9E" w:rsidP="006916CE">
            <w:pPr>
              <w:pStyle w:val="BodyText"/>
              <w:jc w:val="left"/>
              <w:cnfStyle w:val="100000000000" w:firstRow="1" w:lastRow="0" w:firstColumn="0" w:lastColumn="0" w:oddVBand="0" w:evenVBand="0" w:oddHBand="0" w:evenHBand="0" w:firstRowFirstColumn="0" w:firstRowLastColumn="0" w:lastRowFirstColumn="0" w:lastRowLastColumn="0"/>
              <w:rPr>
                <w:b/>
              </w:rPr>
            </w:pPr>
            <w:r w:rsidRPr="006916CE">
              <w:rPr>
                <w:b/>
              </w:rPr>
              <w:t>Criterion</w:t>
            </w:r>
          </w:p>
        </w:tc>
        <w:tc>
          <w:tcPr>
            <w:tcW w:w="5359" w:type="dxa"/>
          </w:tcPr>
          <w:p w:rsidR="00DC4F9E" w:rsidRPr="006916CE" w:rsidRDefault="00DC4F9E" w:rsidP="006916CE">
            <w:pPr>
              <w:pStyle w:val="BodyText"/>
              <w:jc w:val="left"/>
              <w:cnfStyle w:val="100000000000" w:firstRow="1" w:lastRow="0" w:firstColumn="0" w:lastColumn="0" w:oddVBand="0" w:evenVBand="0" w:oddHBand="0" w:evenHBand="0" w:firstRowFirstColumn="0" w:firstRowLastColumn="0" w:lastRowFirstColumn="0" w:lastRowLastColumn="0"/>
              <w:rPr>
                <w:b/>
              </w:rPr>
            </w:pPr>
            <w:r w:rsidRPr="006916CE">
              <w:rPr>
                <w:b/>
              </w:rPr>
              <w:t>Detail</w:t>
            </w:r>
          </w:p>
        </w:tc>
        <w:tc>
          <w:tcPr>
            <w:tcW w:w="5414" w:type="dxa"/>
          </w:tcPr>
          <w:p w:rsidR="00DC4F9E" w:rsidRPr="006916CE" w:rsidRDefault="00DC4F9E" w:rsidP="006916CE">
            <w:pPr>
              <w:pStyle w:val="BodyText"/>
              <w:jc w:val="left"/>
              <w:cnfStyle w:val="100000000000" w:firstRow="1" w:lastRow="0" w:firstColumn="0" w:lastColumn="0" w:oddVBand="0" w:evenVBand="0" w:oddHBand="0" w:evenHBand="0" w:firstRowFirstColumn="0" w:firstRowLastColumn="0" w:lastRowFirstColumn="0" w:lastRowLastColumn="0"/>
              <w:rPr>
                <w:b/>
              </w:rPr>
            </w:pPr>
            <w:r w:rsidRPr="006916CE">
              <w:rPr>
                <w:b/>
              </w:rPr>
              <w:t>Measure</w:t>
            </w:r>
          </w:p>
        </w:tc>
      </w:tr>
      <w:tr w:rsidR="00DC4F9E" w:rsidRPr="00DC4F9E" w:rsidTr="006916CE">
        <w:trPr>
          <w:cantSplit/>
        </w:trPr>
        <w:tc>
          <w:tcPr>
            <w:tcW w:w="392" w:type="dxa"/>
          </w:tcPr>
          <w:p w:rsidR="00DC4F9E" w:rsidRPr="00DC4F9E" w:rsidRDefault="00DC4F9E" w:rsidP="00A954E0">
            <w:pPr>
              <w:pStyle w:val="BodyText"/>
              <w:spacing w:after="240" w:line="240" w:lineRule="atLeast"/>
            </w:pPr>
            <w:r w:rsidRPr="00DC4F9E">
              <w:t>1</w:t>
            </w:r>
          </w:p>
        </w:tc>
        <w:tc>
          <w:tcPr>
            <w:tcW w:w="1984" w:type="dxa"/>
          </w:tcPr>
          <w:p w:rsidR="00DC4F9E" w:rsidRPr="00DC4F9E" w:rsidRDefault="00417D11" w:rsidP="00A954E0">
            <w:pPr>
              <w:pStyle w:val="BodyText"/>
              <w:spacing w:before="120" w:after="240"/>
              <w:rPr>
                <w:highlight w:val="yellow"/>
              </w:rPr>
            </w:pPr>
            <w:r>
              <w:rPr>
                <w:b/>
              </w:rPr>
              <w:t>Threatened resource types</w:t>
            </w:r>
          </w:p>
        </w:tc>
        <w:tc>
          <w:tcPr>
            <w:tcW w:w="5359" w:type="dxa"/>
          </w:tcPr>
          <w:p w:rsidR="00417D11" w:rsidRPr="00417D11" w:rsidRDefault="00417D11" w:rsidP="00417D11">
            <w:pPr>
              <w:pStyle w:val="BodySingle"/>
              <w:spacing w:before="120" w:after="240"/>
              <w:rPr>
                <w:rFonts w:ascii="Georgia" w:hAnsi="Georgia"/>
              </w:rPr>
            </w:pPr>
            <w:r w:rsidRPr="00417D11">
              <w:rPr>
                <w:rFonts w:ascii="Georgia" w:hAnsi="Georgia"/>
              </w:rPr>
              <w:t>Identifies particular extractive resources that are in short supply in the state relative to the level of projected demand.</w:t>
            </w:r>
          </w:p>
          <w:p w:rsidR="00DC4F9E" w:rsidRPr="00DC4F9E" w:rsidRDefault="00417D11">
            <w:pPr>
              <w:pStyle w:val="BodySingle"/>
              <w:spacing w:before="120" w:after="240"/>
              <w:rPr>
                <w:rFonts w:ascii="Georgia" w:hAnsi="Georgia"/>
              </w:rPr>
            </w:pPr>
            <w:r w:rsidRPr="00417D11">
              <w:rPr>
                <w:rFonts w:ascii="Georgia" w:hAnsi="Georgia"/>
              </w:rPr>
              <w:t>Identification of known locations of these resources will also be undertaken. This criterion will consider the potential substitutability of resources in considering which particular extractive resources could be subject to strong price pressures in future.</w:t>
            </w:r>
          </w:p>
        </w:tc>
        <w:tc>
          <w:tcPr>
            <w:tcW w:w="5414" w:type="dxa"/>
          </w:tcPr>
          <w:p w:rsidR="00215F1F" w:rsidRPr="00215F1F" w:rsidRDefault="00417D11" w:rsidP="00417D11">
            <w:pPr>
              <w:pStyle w:val="BodyText"/>
              <w:spacing w:before="120" w:after="240"/>
            </w:pPr>
            <w:r>
              <w:t xml:space="preserve">Those resources with less than 5 years of supply from current and planned future licensed reserves are identified under this criterion. </w:t>
            </w:r>
          </w:p>
        </w:tc>
      </w:tr>
      <w:tr w:rsidR="00DC4F9E" w:rsidRPr="00DC4F9E" w:rsidTr="006916CE">
        <w:trPr>
          <w:cantSplit/>
        </w:trPr>
        <w:tc>
          <w:tcPr>
            <w:tcW w:w="392" w:type="dxa"/>
          </w:tcPr>
          <w:p w:rsidR="00DC4F9E" w:rsidRPr="00DC4F9E" w:rsidRDefault="00DC4F9E" w:rsidP="00A954E0">
            <w:pPr>
              <w:pStyle w:val="BodyText"/>
              <w:spacing w:after="240" w:line="240" w:lineRule="atLeast"/>
            </w:pPr>
            <w:r w:rsidRPr="00DC4F9E">
              <w:t>2</w:t>
            </w:r>
          </w:p>
        </w:tc>
        <w:tc>
          <w:tcPr>
            <w:tcW w:w="1984" w:type="dxa"/>
          </w:tcPr>
          <w:p w:rsidR="00DC4F9E" w:rsidRPr="00DC4F9E" w:rsidRDefault="00DC4F9E" w:rsidP="00A954E0">
            <w:pPr>
              <w:pStyle w:val="BodyText"/>
              <w:spacing w:before="120" w:after="240"/>
              <w:rPr>
                <w:highlight w:val="yellow"/>
              </w:rPr>
            </w:pPr>
            <w:r w:rsidRPr="00DC4F9E">
              <w:rPr>
                <w:b/>
              </w:rPr>
              <w:t>Key supply locations where significant depletion of resources is anticipated</w:t>
            </w:r>
          </w:p>
        </w:tc>
        <w:tc>
          <w:tcPr>
            <w:tcW w:w="5359" w:type="dxa"/>
          </w:tcPr>
          <w:p w:rsidR="00DC4F9E" w:rsidRPr="00DC4F9E" w:rsidRDefault="00DC4F9E" w:rsidP="00B75D81">
            <w:pPr>
              <w:pStyle w:val="BodyText"/>
              <w:spacing w:before="120" w:after="240"/>
              <w:rPr>
                <w:highlight w:val="yellow"/>
              </w:rPr>
            </w:pPr>
            <w:r w:rsidRPr="00DC4F9E">
              <w:t xml:space="preserve">Identifies locations in Victoria </w:t>
            </w:r>
            <w:r w:rsidR="00417D11" w:rsidRPr="00417D11">
              <w:t xml:space="preserve">subject to significant exhaustion of current and planned future licensed reserves across the analysis period. The high exhaustion rate occurring in these locations indicates that they receive high levels of allocated demand, which </w:t>
            </w:r>
            <w:r w:rsidR="00417D11">
              <w:t xml:space="preserve">suggests </w:t>
            </w:r>
            <w:r w:rsidR="00417D11" w:rsidRPr="00417D11">
              <w:t>that they are well suited geographically to delivering extractive resources support Victoria’s development</w:t>
            </w:r>
          </w:p>
        </w:tc>
        <w:tc>
          <w:tcPr>
            <w:tcW w:w="5414" w:type="dxa"/>
          </w:tcPr>
          <w:p w:rsidR="00DC4F9E" w:rsidRDefault="00417D11" w:rsidP="006916CE">
            <w:pPr>
              <w:pStyle w:val="PwCNormal"/>
            </w:pPr>
            <w:r>
              <w:t>Thresholds applied under Criterion 2 are different for each rock type:</w:t>
            </w:r>
          </w:p>
          <w:p w:rsidR="00417D11" w:rsidRDefault="00417D11" w:rsidP="006916CE">
            <w:pPr>
              <w:pStyle w:val="TableBullet2Normal"/>
            </w:pPr>
            <w:r>
              <w:t>Hard rock: a cumulative production shortfall of greater than 700,000 tonnes between 2015-50</w:t>
            </w:r>
          </w:p>
          <w:p w:rsidR="00417D11" w:rsidRDefault="00417D11" w:rsidP="006916CE">
            <w:pPr>
              <w:pStyle w:val="TableBullet2Normal"/>
            </w:pPr>
            <w:r>
              <w:t>Sand and gravel: a cumulative production shortfall of greater than 500,000 tonnes between 2015-50</w:t>
            </w:r>
          </w:p>
          <w:p w:rsidR="00417D11" w:rsidRDefault="00417D11" w:rsidP="006916CE">
            <w:pPr>
              <w:pStyle w:val="TableBullet2Normal"/>
            </w:pPr>
            <w:r>
              <w:t>Limestone: a cumulative production shortfall of greater than 2 million tonnes between 2015-50</w:t>
            </w:r>
          </w:p>
          <w:p w:rsidR="00417D11" w:rsidRPr="00DC4F9E" w:rsidRDefault="00417D11" w:rsidP="006916CE">
            <w:pPr>
              <w:pStyle w:val="TableBullet2Normal"/>
            </w:pPr>
            <w:r>
              <w:t xml:space="preserve">Clay and clay shale: </w:t>
            </w:r>
            <w:r w:rsidR="00B75D81">
              <w:t>a positive cumulative production shortfall between 2015-50</w:t>
            </w:r>
          </w:p>
        </w:tc>
      </w:tr>
      <w:tr w:rsidR="00DC4F9E" w:rsidRPr="00DC4F9E" w:rsidTr="006916CE">
        <w:trPr>
          <w:cantSplit/>
        </w:trPr>
        <w:tc>
          <w:tcPr>
            <w:tcW w:w="392" w:type="dxa"/>
          </w:tcPr>
          <w:p w:rsidR="00DC4F9E" w:rsidRPr="00DC4F9E" w:rsidRDefault="00DC4F9E" w:rsidP="00A954E0">
            <w:pPr>
              <w:pStyle w:val="BodyText"/>
              <w:spacing w:after="240" w:line="240" w:lineRule="atLeast"/>
            </w:pPr>
            <w:r w:rsidRPr="00DC4F9E">
              <w:t>3</w:t>
            </w:r>
          </w:p>
        </w:tc>
        <w:tc>
          <w:tcPr>
            <w:tcW w:w="1984" w:type="dxa"/>
          </w:tcPr>
          <w:p w:rsidR="00DC4F9E" w:rsidRPr="00DC4F9E" w:rsidRDefault="00B75D81" w:rsidP="00A954E0">
            <w:pPr>
              <w:pStyle w:val="BodyText"/>
              <w:spacing w:before="120" w:after="240"/>
              <w:rPr>
                <w:highlight w:val="yellow"/>
              </w:rPr>
            </w:pPr>
            <w:r>
              <w:rPr>
                <w:b/>
              </w:rPr>
              <w:t>Significant production - Locations that produce significant volumes of extractive resources</w:t>
            </w:r>
          </w:p>
        </w:tc>
        <w:tc>
          <w:tcPr>
            <w:tcW w:w="5359" w:type="dxa"/>
          </w:tcPr>
          <w:p w:rsidR="00DC4F9E" w:rsidRPr="00DC4F9E" w:rsidRDefault="00B75D81" w:rsidP="00A954E0">
            <w:pPr>
              <w:pStyle w:val="BodyText"/>
              <w:spacing w:before="120" w:after="240"/>
              <w:rPr>
                <w:highlight w:val="yellow"/>
              </w:rPr>
            </w:pPr>
            <w:r>
              <w:t>This criterion identifies those locations that deliver large volumes of extractive resources across the analysis period. This criterion points to the Victorian locations which could be considered for protection of existing resources to support the State’s development.</w:t>
            </w:r>
            <w:r w:rsidR="00DC4F9E" w:rsidRPr="00DC4F9E">
              <w:br/>
            </w:r>
          </w:p>
        </w:tc>
        <w:tc>
          <w:tcPr>
            <w:tcW w:w="5414" w:type="dxa"/>
          </w:tcPr>
          <w:p w:rsidR="00DC4F9E" w:rsidRPr="00B75D81" w:rsidRDefault="00B75D81" w:rsidP="006916CE">
            <w:pPr>
              <w:pStyle w:val="BodyText"/>
              <w:keepNext/>
              <w:spacing w:before="120" w:after="240"/>
            </w:pPr>
            <w:r w:rsidRPr="00B75D81">
              <w:t>Again, the thresholds for thi</w:t>
            </w:r>
            <w:r>
              <w:t>s criterion differ by rock type:</w:t>
            </w:r>
            <w:r w:rsidRPr="00B75D81">
              <w:t xml:space="preserve"> </w:t>
            </w:r>
          </w:p>
          <w:p w:rsidR="00B75D81" w:rsidRPr="00B75D81" w:rsidRDefault="00B75D81" w:rsidP="006916CE">
            <w:pPr>
              <w:pStyle w:val="TableBullet2Normal"/>
              <w:keepNext/>
            </w:pPr>
            <w:r w:rsidRPr="00B75D81">
              <w:t xml:space="preserve">Hard rock: </w:t>
            </w:r>
            <w:r>
              <w:t>a supply volume of 1 million tonnes or greater in 2050</w:t>
            </w:r>
          </w:p>
          <w:p w:rsidR="00B75D81" w:rsidRDefault="00B75D81" w:rsidP="006916CE">
            <w:pPr>
              <w:pStyle w:val="TableBullet2Normal"/>
              <w:keepNext/>
            </w:pPr>
            <w:r w:rsidRPr="00B75D81">
              <w:t xml:space="preserve">Sand and gravel: </w:t>
            </w:r>
            <w:r>
              <w:t>a positive supply volume of 400 thousand tonnes or greater in 2050</w:t>
            </w:r>
          </w:p>
          <w:p w:rsidR="00B75D81" w:rsidRPr="00B75D81" w:rsidRDefault="00B75D81" w:rsidP="006916CE">
            <w:pPr>
              <w:pStyle w:val="TableBullet2Normal"/>
              <w:keepNext/>
            </w:pPr>
            <w:r w:rsidRPr="00B75D81">
              <w:t xml:space="preserve">Limestone: </w:t>
            </w:r>
            <w:r>
              <w:t>a positive supply volume in 2050</w:t>
            </w:r>
          </w:p>
          <w:p w:rsidR="00B75D81" w:rsidRPr="006916CE" w:rsidRDefault="00B75D81" w:rsidP="006916CE">
            <w:pPr>
              <w:pStyle w:val="TableBullet2Normal"/>
              <w:keepNext/>
            </w:pPr>
            <w:r w:rsidRPr="00B75D81">
              <w:t xml:space="preserve">Clay and clay shale: </w:t>
            </w:r>
            <w:r>
              <w:t>a positive supply volume in 2050.</w:t>
            </w:r>
          </w:p>
        </w:tc>
      </w:tr>
      <w:tr w:rsidR="00DC4F9E" w:rsidRPr="00DC4F9E" w:rsidTr="006916CE">
        <w:trPr>
          <w:cantSplit/>
          <w:trHeight w:val="2926"/>
        </w:trPr>
        <w:tc>
          <w:tcPr>
            <w:tcW w:w="392" w:type="dxa"/>
          </w:tcPr>
          <w:p w:rsidR="00DC4F9E" w:rsidRPr="00DC4F9E" w:rsidRDefault="00DC4F9E" w:rsidP="00A954E0">
            <w:pPr>
              <w:pStyle w:val="BodyText"/>
              <w:spacing w:after="240" w:line="240" w:lineRule="atLeast"/>
            </w:pPr>
            <w:r w:rsidRPr="00DC4F9E">
              <w:t>4</w:t>
            </w:r>
          </w:p>
        </w:tc>
        <w:tc>
          <w:tcPr>
            <w:tcW w:w="1984" w:type="dxa"/>
          </w:tcPr>
          <w:p w:rsidR="00DC4F9E" w:rsidRPr="00DC4F9E" w:rsidRDefault="00B75D81" w:rsidP="00BA20CD">
            <w:pPr>
              <w:pStyle w:val="BodyText"/>
              <w:spacing w:before="120" w:after="240"/>
              <w:rPr>
                <w:highlight w:val="yellow"/>
              </w:rPr>
            </w:pPr>
            <w:r w:rsidRPr="00DC4F9E">
              <w:rPr>
                <w:b/>
              </w:rPr>
              <w:t>Supply locations critical to supporting Greater Melbourne’s future</w:t>
            </w:r>
          </w:p>
        </w:tc>
        <w:tc>
          <w:tcPr>
            <w:tcW w:w="5359" w:type="dxa"/>
          </w:tcPr>
          <w:p w:rsidR="00DC4F9E" w:rsidRPr="00DC4F9E" w:rsidRDefault="00DC4F9E" w:rsidP="00A954E0">
            <w:pPr>
              <w:pStyle w:val="BodyText"/>
              <w:spacing w:before="120" w:after="240"/>
            </w:pPr>
            <w:r w:rsidRPr="00DC4F9E">
              <w:t xml:space="preserve">Identifies particular extractive resources that are in short supply in the </w:t>
            </w:r>
            <w:r w:rsidR="009069AC">
              <w:t>S</w:t>
            </w:r>
            <w:r w:rsidR="009069AC" w:rsidRPr="00DC4F9E">
              <w:t xml:space="preserve">tate </w:t>
            </w:r>
            <w:r w:rsidRPr="00DC4F9E">
              <w:t>relative to the level of projected demand.</w:t>
            </w:r>
          </w:p>
          <w:p w:rsidR="00DC4F9E" w:rsidRPr="00DC4F9E" w:rsidRDefault="00DC4F9E" w:rsidP="00417D11">
            <w:pPr>
              <w:pStyle w:val="BodyText"/>
              <w:spacing w:before="120" w:after="240"/>
              <w:rPr>
                <w:highlight w:val="yellow"/>
              </w:rPr>
            </w:pPr>
            <w:r w:rsidRPr="00DC4F9E">
              <w:t>Identification of known locations of these resources will also be undertaken. This criterion will consider the potential substitutability of resources in considering which particular extractive resources could be subject to strong price pressures in future.</w:t>
            </w:r>
          </w:p>
        </w:tc>
        <w:tc>
          <w:tcPr>
            <w:tcW w:w="5414" w:type="dxa"/>
          </w:tcPr>
          <w:p w:rsidR="00B75D81" w:rsidRDefault="00B75D81" w:rsidP="00B459A4">
            <w:pPr>
              <w:pStyle w:val="ChapterNumberedList1"/>
              <w:numPr>
                <w:ilvl w:val="0"/>
                <w:numId w:val="0"/>
              </w:numPr>
              <w:ind w:left="34"/>
            </w:pPr>
            <w:r w:rsidRPr="00B75D81">
              <w:t>This criterion was chosen to aid in identification of those supply locations critical to Greater Melbourne’s future development. The outputs of this criterion are expected to help to inform planning arrangements supporting the city’s growth.</w:t>
            </w:r>
          </w:p>
          <w:p w:rsidR="00DC4F9E" w:rsidRPr="00B75D81" w:rsidRDefault="00B75D81" w:rsidP="00B459A4">
            <w:pPr>
              <w:pStyle w:val="ChapterNumberedList1"/>
              <w:numPr>
                <w:ilvl w:val="0"/>
                <w:numId w:val="0"/>
              </w:numPr>
              <w:ind w:left="34"/>
              <w:rPr>
                <w:b/>
              </w:rPr>
            </w:pPr>
            <w:r>
              <w:t>A threshold was applied consistently across rock types under this criterion. Resource locations were identified on the basis that they supplied at least one per cent of the total State supply to Greater Melbourne</w:t>
            </w:r>
            <w:r w:rsidR="00D311A7">
              <w:t xml:space="preserve"> in relation to residential and commercial construction demand</w:t>
            </w:r>
            <w:r>
              <w:t>, for a particular rock type.</w:t>
            </w:r>
          </w:p>
        </w:tc>
      </w:tr>
    </w:tbl>
    <w:p w:rsidR="007972FB" w:rsidRPr="00876095" w:rsidRDefault="00B75D81" w:rsidP="006916CE">
      <w:pPr>
        <w:pStyle w:val="Sources"/>
        <w:sectPr w:rsidR="007972FB" w:rsidRPr="00876095" w:rsidSect="001A7D05">
          <w:pgSz w:w="16840" w:h="11907" w:orient="landscape" w:code="9"/>
          <w:pgMar w:top="1843" w:right="1588" w:bottom="1843" w:left="1418" w:header="567" w:footer="567" w:gutter="0"/>
          <w:cols w:space="227"/>
          <w:titlePg/>
          <w:docGrid w:linePitch="360"/>
        </w:sectPr>
      </w:pPr>
      <w:r>
        <w:t>Source: PwC analysis</w:t>
      </w:r>
    </w:p>
    <w:p w:rsidR="00384876" w:rsidRDefault="00876095" w:rsidP="006916CE">
      <w:pPr>
        <w:pStyle w:val="Heading4"/>
        <w:numPr>
          <w:ilvl w:val="4"/>
          <w:numId w:val="69"/>
        </w:numPr>
      </w:pPr>
      <w:bookmarkStart w:id="405" w:name="_Toc447628753"/>
      <w:bookmarkStart w:id="406" w:name="_Toc447630223"/>
      <w:bookmarkStart w:id="407" w:name="_Toc448153190"/>
      <w:bookmarkStart w:id="408" w:name="_Ref448391998"/>
      <w:bookmarkStart w:id="409" w:name="_Toc448917124"/>
      <w:bookmarkStart w:id="410" w:name="_Toc448925136"/>
      <w:bookmarkStart w:id="411" w:name="_Toc448935475"/>
      <w:bookmarkStart w:id="412" w:name="_Toc448936094"/>
      <w:bookmarkStart w:id="413" w:name="_Toc449603863"/>
      <w:bookmarkStart w:id="414" w:name="_Toc449603929"/>
      <w:bookmarkStart w:id="415" w:name="_Toc449949938"/>
      <w:bookmarkStart w:id="416" w:name="_Toc449960264"/>
      <w:bookmarkStart w:id="417" w:name="_Toc451239542"/>
      <w:bookmarkStart w:id="418" w:name="_Toc451239548"/>
      <w:r>
        <w:t>Demand analysis report</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6B2BD5" w:rsidRDefault="006B2BD5" w:rsidP="006B2BD5">
      <w:pPr>
        <w:pStyle w:val="PwCNormal"/>
      </w:pPr>
    </w:p>
    <w:p w:rsidR="007972FB" w:rsidRDefault="007972FB" w:rsidP="006916CE">
      <w:pPr>
        <w:pStyle w:val="PwCNormal"/>
        <w:sectPr w:rsidR="007972FB" w:rsidSect="001A7D05">
          <w:pgSz w:w="11907" w:h="16840" w:code="9"/>
          <w:pgMar w:top="1588" w:right="1843" w:bottom="1418" w:left="1843" w:header="567" w:footer="567" w:gutter="0"/>
          <w:cols w:space="227"/>
          <w:titlePg/>
          <w:docGrid w:linePitch="360"/>
        </w:sectPr>
      </w:pPr>
    </w:p>
    <w:p w:rsidR="007972FB" w:rsidRDefault="007972FB" w:rsidP="006916CE">
      <w:pPr>
        <w:pStyle w:val="Heading4"/>
        <w:numPr>
          <w:ilvl w:val="4"/>
          <w:numId w:val="69"/>
        </w:numPr>
      </w:pPr>
      <w:bookmarkStart w:id="419" w:name="_Ref448244143"/>
      <w:bookmarkStart w:id="420" w:name="_Toc448917125"/>
      <w:bookmarkStart w:id="421" w:name="_Toc448925137"/>
      <w:bookmarkStart w:id="422" w:name="_Toc448935476"/>
      <w:bookmarkStart w:id="423" w:name="_Toc448936095"/>
      <w:bookmarkStart w:id="424" w:name="_Toc449603864"/>
      <w:bookmarkStart w:id="425" w:name="_Toc449603930"/>
      <w:bookmarkStart w:id="426" w:name="_Toc449949939"/>
      <w:bookmarkStart w:id="427" w:name="_Toc449960265"/>
      <w:bookmarkStart w:id="428" w:name="_Toc451239543"/>
      <w:bookmarkStart w:id="429" w:name="_Toc451239549"/>
      <w:r>
        <w:t>C</w:t>
      </w:r>
      <w:r w:rsidR="007D2210">
        <w:t>lassification</w:t>
      </w:r>
      <w:r>
        <w:t xml:space="preserve"> of LGAs used</w:t>
      </w:r>
      <w:bookmarkEnd w:id="419"/>
      <w:bookmarkEnd w:id="420"/>
      <w:bookmarkEnd w:id="421"/>
      <w:bookmarkEnd w:id="422"/>
      <w:bookmarkEnd w:id="423"/>
      <w:bookmarkEnd w:id="424"/>
      <w:bookmarkEnd w:id="425"/>
      <w:bookmarkEnd w:id="426"/>
      <w:bookmarkEnd w:id="427"/>
      <w:bookmarkEnd w:id="428"/>
      <w:bookmarkEnd w:id="429"/>
    </w:p>
    <w:tbl>
      <w:tblPr>
        <w:tblStyle w:val="Tables-APBase"/>
        <w:tblW w:w="5000" w:type="pct"/>
        <w:tblLayout w:type="fixed"/>
        <w:tblLook w:val="04A0" w:firstRow="1" w:lastRow="0" w:firstColumn="1" w:lastColumn="0" w:noHBand="0" w:noVBand="1"/>
        <w:tblCaption w:val="Appendix F"/>
        <w:tblDescription w:val="Appendix F is a table showing the classification of LGAs used. They are: Alpine (S) Regional, Ararat (RC) Regional, Ballarat (C) Regional, Banyule (C) Urban infill, Bass Coast (S) Regional, Baw Baw (S) Regional, Bayside (C) Urban Infill, Benalla (RC) Regional, Boroondara (C) Urban Infill, Brimbank (C) Urban Infill, Buloke (S) Regional, Campaspe (S) Regional, Cardinia (S) Urban Growth Area, Casey (C) Urban Growth Area, Central Goldfields (S) Regional, Colac-Otway (S) Regional, Corangamite (S) Regional, Darebin (C) Urban Infill, East Gippsland (S) Regional, Frankston (C) Urban Infill, Gannawarra (S) Regional, Glen Eira (C) Urban Infill, Glenelg (S) Regional, Golden Plains (S) Regional, Greater Bendigo (C) Regional, Greater Dandenong (C) Urban Infill, Greater Geelong (C) Regional, Greater Shepparton (C) Regional, Hepburn (S) Regional, Hindmarsh (S) Regional, Hobsons Bay (C) Urban Infill, Horsham (RC) Regional, Hume (C) Urban Growth Area, Indigo (S) Regional, Kingston (C) Urban Infill, Knox (C) Urban Infill, Latrobe (C) Regional, Loddon (S) Regional, Macedon Ranges (S) Regional, Manningham (C) Urban Infill, Mansfield (S) Regional, Maribyrnong (C) Urban Infill, Maroondah (C) Urban Infill, Melbourne (C) Urban Infill, Melton (C) Urban Growth Area, Mildura (RC) Regional, Mitchell (S) Urban Growth Area, Moira (S) Regional, Monash (C) Urban Infill, Moonee Valley (C) Urban Infill, Moorabool (S) Regional, Moreland (C) Urban Infill, Mornington Peninsula (S) Urban Infill, Mount Alexander (S) Regional, Moyne (S) Regional, Murrindindi (S) Regional, Nillumbik (S) Urban Infill, Northern Grampians (S) Regional, Port Phillip (C) Urban Infill, Pyrenees (S) Regional, Queenscliffe (B) Regional, South Gippsland (S) Regional, Southern Grampians (S) Regional, Stonnington (C) Urban Infill, Strathbogie (S) Regional, Surf Coast (S) Regional, Swan Hill (RC) Regional, Towong (S) Regional, Wangaratta (RC) Regional, Warrnambool (C) Regional, Wellington (S) Regional, West Wimmera (S) Regional, Whitehorse (C) Urban Infill, Whittlesea (C) Urban Growth Area, Wodonga (RC) Regional, Wyndham (C) Urban Growth Area, Yarra (C) Urban Infill, Yarra Ranges (S) Regional, Yarriambiack (S) Regional.z"/>
      </w:tblPr>
      <w:tblGrid>
        <w:gridCol w:w="4218"/>
        <w:gridCol w:w="4219"/>
      </w:tblGrid>
      <w:tr w:rsidR="007972FB" w:rsidTr="006916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18" w:type="dxa"/>
          </w:tcPr>
          <w:p w:rsidR="007972FB" w:rsidRDefault="007D2210" w:rsidP="006916CE">
            <w:pPr>
              <w:pStyle w:val="TableColumnHeadingSmall"/>
            </w:pPr>
            <w:bookmarkStart w:id="430" w:name="OLE_LINK2"/>
            <w:r>
              <w:t xml:space="preserve">Victorian </w:t>
            </w:r>
            <w:r w:rsidR="007972FB">
              <w:t>Local Government Area (LGA)</w:t>
            </w:r>
          </w:p>
        </w:tc>
        <w:tc>
          <w:tcPr>
            <w:tcW w:w="4219" w:type="dxa"/>
          </w:tcPr>
          <w:p w:rsidR="007972FB" w:rsidRDefault="007972FB" w:rsidP="006916CE">
            <w:pPr>
              <w:pStyle w:val="TableColumnHeadingSmall"/>
              <w:cnfStyle w:val="100000000000" w:firstRow="1" w:lastRow="0" w:firstColumn="0" w:lastColumn="0" w:oddVBand="0" w:evenVBand="0" w:oddHBand="0" w:evenHBand="0" w:firstRowFirstColumn="0" w:firstRowLastColumn="0" w:lastRowFirstColumn="0" w:lastRowLastColumn="0"/>
            </w:pPr>
            <w:r>
              <w:t>Classification</w:t>
            </w:r>
          </w:p>
        </w:tc>
      </w:tr>
      <w:tr w:rsidR="007972FB" w:rsidTr="006916CE">
        <w:tc>
          <w:tcPr>
            <w:tcW w:w="4218" w:type="dxa"/>
          </w:tcPr>
          <w:p w:rsidR="007972FB" w:rsidRDefault="007972FB" w:rsidP="006916CE">
            <w:pPr>
              <w:pStyle w:val="TableTextSmall"/>
            </w:pPr>
            <w:r w:rsidRPr="00044C93">
              <w:t>Alpine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Ararat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Ballarat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Banyule (C)</w:t>
            </w:r>
          </w:p>
        </w:tc>
        <w:tc>
          <w:tcPr>
            <w:tcW w:w="4219" w:type="dxa"/>
          </w:tcPr>
          <w:p w:rsidR="007972FB" w:rsidRDefault="007D2210" w:rsidP="006916CE">
            <w:pPr>
              <w:pStyle w:val="TableTextSmall"/>
            </w:pPr>
            <w:r>
              <w:t>Urban infill</w:t>
            </w:r>
          </w:p>
        </w:tc>
      </w:tr>
      <w:tr w:rsidR="007972FB" w:rsidTr="006916CE">
        <w:tc>
          <w:tcPr>
            <w:tcW w:w="4218" w:type="dxa"/>
          </w:tcPr>
          <w:p w:rsidR="007972FB" w:rsidRDefault="007972FB" w:rsidP="006916CE">
            <w:pPr>
              <w:pStyle w:val="TableTextSmall"/>
            </w:pPr>
            <w:r w:rsidRPr="00044C93">
              <w:t>Bass Coast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Baw Baw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Bayside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Benalla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Boroondara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Brimbank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Buloke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Campaspe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Cardinia (S)</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Casey (C)</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Central Goldfields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Colac-Otway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Corangamite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Darebin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East Gippsland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Frankston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Gannawarra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Glen Eira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Glenelg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Golden Plains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Greater Bendigo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Greater Dandenong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Greater Geelong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Greater Shepparton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Hepburn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Hindmarsh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Hobsons Bay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Horsham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Hume (C)</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Indigo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Kingston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Knox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Latrobe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Loddon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Macedon Ranges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Manningham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Mansfield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Maribyrnong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Maroondah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Melbourne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Melton (C)</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Mildura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Mitchell (S)</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Moira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Monash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Moonee Valley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Moorabool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Moreland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Mornington Peninsula (S)</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Mount Alexander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Moyne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Murrindindi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Nillumbik (S)</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Northern Grampians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Port Phillip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Pyrenees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Queenscliffe (B)</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South Gippsland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Southern Grampians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Stonnington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Strathbogie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Surf Coast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Swan Hill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Towong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Wangaratta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Warrnambool (C)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Wellington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West Wimmera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Whitehorse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Whittlesea (C)</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Wodonga (RC)</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Wyndham (C)</w:t>
            </w:r>
          </w:p>
        </w:tc>
        <w:tc>
          <w:tcPr>
            <w:tcW w:w="4219" w:type="dxa"/>
          </w:tcPr>
          <w:p w:rsidR="007972FB" w:rsidRDefault="007972FB" w:rsidP="006916CE">
            <w:pPr>
              <w:pStyle w:val="TableTextSmall"/>
            </w:pPr>
            <w:r w:rsidRPr="00044C93">
              <w:t>Urban Growth Area</w:t>
            </w:r>
          </w:p>
        </w:tc>
      </w:tr>
      <w:tr w:rsidR="007972FB" w:rsidTr="006916CE">
        <w:tc>
          <w:tcPr>
            <w:tcW w:w="4218" w:type="dxa"/>
          </w:tcPr>
          <w:p w:rsidR="007972FB" w:rsidRDefault="007972FB" w:rsidP="006916CE">
            <w:pPr>
              <w:pStyle w:val="TableTextSmall"/>
            </w:pPr>
            <w:r w:rsidRPr="00044C93">
              <w:t>Yarra (C)</w:t>
            </w:r>
          </w:p>
        </w:tc>
        <w:tc>
          <w:tcPr>
            <w:tcW w:w="4219" w:type="dxa"/>
          </w:tcPr>
          <w:p w:rsidR="007972FB" w:rsidRDefault="007972FB" w:rsidP="006916CE">
            <w:pPr>
              <w:pStyle w:val="TableTextSmall"/>
            </w:pPr>
            <w:r w:rsidRPr="00044C93">
              <w:t>Urban Infill</w:t>
            </w:r>
          </w:p>
        </w:tc>
      </w:tr>
      <w:tr w:rsidR="007972FB" w:rsidTr="006916CE">
        <w:tc>
          <w:tcPr>
            <w:tcW w:w="4218" w:type="dxa"/>
          </w:tcPr>
          <w:p w:rsidR="007972FB" w:rsidRDefault="007972FB" w:rsidP="006916CE">
            <w:pPr>
              <w:pStyle w:val="TableTextSmall"/>
            </w:pPr>
            <w:r w:rsidRPr="00044C93">
              <w:t>Yarra Ranges (S)</w:t>
            </w:r>
          </w:p>
        </w:tc>
        <w:tc>
          <w:tcPr>
            <w:tcW w:w="4219" w:type="dxa"/>
          </w:tcPr>
          <w:p w:rsidR="007972FB" w:rsidRDefault="007972FB" w:rsidP="006916CE">
            <w:pPr>
              <w:pStyle w:val="TableTextSmall"/>
            </w:pPr>
            <w:r w:rsidRPr="00044C93">
              <w:t>Regional</w:t>
            </w:r>
          </w:p>
        </w:tc>
      </w:tr>
      <w:tr w:rsidR="007972FB" w:rsidTr="006916CE">
        <w:tc>
          <w:tcPr>
            <w:tcW w:w="4218" w:type="dxa"/>
          </w:tcPr>
          <w:p w:rsidR="007972FB" w:rsidRDefault="007972FB" w:rsidP="006916CE">
            <w:pPr>
              <w:pStyle w:val="TableTextSmall"/>
            </w:pPr>
            <w:r w:rsidRPr="00044C93">
              <w:t>Yarriambiack (S)</w:t>
            </w:r>
          </w:p>
        </w:tc>
        <w:tc>
          <w:tcPr>
            <w:tcW w:w="4219" w:type="dxa"/>
          </w:tcPr>
          <w:p w:rsidR="007972FB" w:rsidRDefault="007972FB" w:rsidP="006916CE">
            <w:pPr>
              <w:pStyle w:val="TableTextSmall"/>
            </w:pPr>
            <w:r w:rsidRPr="00044C93">
              <w:t>Regional</w:t>
            </w:r>
          </w:p>
        </w:tc>
      </w:tr>
    </w:tbl>
    <w:bookmarkEnd w:id="430"/>
    <w:p w:rsidR="007972FB" w:rsidRDefault="007D2210" w:rsidP="006916CE">
      <w:pPr>
        <w:pStyle w:val="Sources"/>
        <w:sectPr w:rsidR="007972FB" w:rsidSect="001A7D05">
          <w:pgSz w:w="11907" w:h="16840" w:code="9"/>
          <w:pgMar w:top="1588" w:right="1843" w:bottom="1418" w:left="1843" w:header="567" w:footer="567" w:gutter="0"/>
          <w:cols w:space="227"/>
          <w:titlePg/>
          <w:docGrid w:linePitch="360"/>
        </w:sectPr>
      </w:pPr>
      <w:r>
        <w:t>Source: EY</w:t>
      </w:r>
      <w:r w:rsidRPr="0089081A">
        <w:t>, Demand analysis of extractive resources in Victoria</w:t>
      </w:r>
      <w:r>
        <w:t>, 2016</w:t>
      </w:r>
    </w:p>
    <w:p w:rsidR="005236F7" w:rsidRDefault="005236F7">
      <w:pPr>
        <w:kinsoku/>
        <w:overflowPunct/>
        <w:autoSpaceDE/>
        <w:autoSpaceDN/>
        <w:adjustRightInd/>
        <w:snapToGrid/>
      </w:pPr>
    </w:p>
    <w:sectPr w:rsidR="005236F7" w:rsidSect="008E6ACE">
      <w:headerReference w:type="even" r:id="rId94"/>
      <w:headerReference w:type="default" r:id="rId95"/>
      <w:footerReference w:type="even" r:id="rId96"/>
      <w:footerReference w:type="default" r:id="rId97"/>
      <w:headerReference w:type="first" r:id="rId98"/>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2F4" w:rsidRDefault="00F752F4" w:rsidP="004343B3">
      <w:pPr>
        <w:pStyle w:val="Separator"/>
      </w:pPr>
      <w:r>
        <w:separator/>
      </w:r>
    </w:p>
    <w:p w:rsidR="00F752F4" w:rsidRDefault="00F752F4"/>
  </w:endnote>
  <w:endnote w:type="continuationSeparator" w:id="0">
    <w:p w:rsidR="00F752F4" w:rsidRDefault="00F752F4" w:rsidP="004343B3">
      <w:pPr>
        <w:pStyle w:val="Separator"/>
      </w:pPr>
      <w:r>
        <w:continuationSeparator/>
      </w:r>
    </w:p>
    <w:p w:rsidR="00F752F4" w:rsidRDefault="00F752F4"/>
  </w:endnote>
  <w:endnote w:type="continuationNotice" w:id="1">
    <w:p w:rsidR="00F752F4" w:rsidRDefault="00F752F4" w:rsidP="004343B3">
      <w:pPr>
        <w:pStyle w:val="Separator"/>
      </w:pPr>
    </w:p>
    <w:p w:rsidR="00F752F4" w:rsidRDefault="00F75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Even"/>
    </w:pPr>
    <w:fldSimple w:instr=" STYLEREF &quot;Cover Title&quot; ">
      <w:r w:rsidR="000E16FA">
        <w:rPr>
          <w:noProof/>
        </w:rPr>
        <w:t>Department of Economic Development, Jobs, Transport and Resources</w:t>
      </w:r>
    </w:fldSimple>
  </w:p>
  <w:p w:rsidR="00F752F4" w:rsidRPr="006650EF" w:rsidRDefault="00F752F4" w:rsidP="001A48C1">
    <w:pPr>
      <w:pStyle w:val="Footer-Even"/>
    </w:pPr>
    <w:r>
      <w:t>PwC</w:t>
    </w:r>
    <w:r>
      <w:tab/>
    </w:r>
    <w:r>
      <w:fldChar w:fldCharType="begin"/>
    </w:r>
    <w:r>
      <w:instrText xml:space="preserve"> PAGE  \* MERGEFORMAT </w:instrText>
    </w:r>
    <w:r>
      <w:fldChar w:fldCharType="separate"/>
    </w:r>
    <w:r w:rsidR="007765AB">
      <w:rPr>
        <w:noProof/>
      </w:rPr>
      <w:t>vi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ToCEven"/>
    </w:pPr>
    <w:fldSimple w:instr=" STYLEREF &quot;Cover Title&quot; ">
      <w:r>
        <w:rPr>
          <w:noProof/>
        </w:rPr>
        <w:t>Department of Economic Development, Jobs, Transport and Resources</w:t>
      </w:r>
    </w:fldSimple>
  </w:p>
  <w:p w:rsidR="00F752F4" w:rsidRPr="002628D1" w:rsidRDefault="00F752F4" w:rsidP="001A48C1">
    <w:pPr>
      <w:pStyle w:val="Footer-ToCEven"/>
    </w:pPr>
    <w:r>
      <w:t>PwC</w:t>
    </w:r>
    <w:r>
      <w:tab/>
    </w:r>
    <w:r>
      <w:fldChar w:fldCharType="begin"/>
    </w:r>
    <w:r>
      <w:instrText xml:space="preserve"> PAGE  \* MERGEFORMAT </w:instrText>
    </w:r>
    <w:r>
      <w:fldChar w:fldCharType="separate"/>
    </w:r>
    <w:r w:rsidR="007765AB">
      <w:rPr>
        <w:noProof/>
      </w:rPr>
      <w:t>122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8C6722" w:rsidRDefault="007765AB" w:rsidP="001A48C1">
    <w:pPr>
      <w:pStyle w:val="Footer-ToC"/>
    </w:pPr>
    <w:fldSimple w:instr=" STYLEREF &quot;Cover Title&quot; ">
      <w:r>
        <w:rPr>
          <w:noProof/>
        </w:rPr>
        <w:t>Department of Economic Development, Jobs, Transport and Resources</w:t>
      </w:r>
    </w:fldSimple>
  </w:p>
  <w:p w:rsidR="00F752F4" w:rsidRPr="008C6722" w:rsidRDefault="00F752F4" w:rsidP="001A48C1">
    <w:pPr>
      <w:pStyle w:val="Footer-ToC"/>
    </w:pPr>
    <w:r w:rsidRPr="008C6722">
      <w:t>PwC</w:t>
    </w:r>
    <w:r w:rsidRPr="008C6722">
      <w:tab/>
    </w:r>
    <w:r>
      <w:fldChar w:fldCharType="begin"/>
    </w:r>
    <w:r>
      <w:instrText xml:space="preserve"> PAGE  \* MERGEFORMAT </w:instrText>
    </w:r>
    <w:r>
      <w:fldChar w:fldCharType="separate"/>
    </w:r>
    <w:r w:rsidR="007765AB">
      <w:rPr>
        <w:noProof/>
      </w:rPr>
      <w:t>119</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1A48C1">
    <w:pPr>
      <w:pStyle w:val="Footer-ToC"/>
    </w:pPr>
    <w:r w:rsidRPr="001A48C1">
      <w:rPr>
        <w:sz w:val="18"/>
      </w:rPr>
      <w:fldChar w:fldCharType="begin"/>
    </w:r>
    <w:r>
      <w:instrText xml:space="preserve"> IF </w:instrText>
    </w:r>
    <w:fldSimple w:instr=" DOCPROPERTY &quot;Mirror Margins&quot; ">
      <w:r>
        <w:instrText>N</w:instrText>
      </w:r>
    </w:fldSimple>
    <w:r>
      <w:instrText xml:space="preserve"> = "N" "</w:instrText>
    </w:r>
    <w:fldSimple w:instr=" STYLEREF &quot;Cover title&quot; ">
      <w:r w:rsidR="007765AB">
        <w:rPr>
          <w:noProof/>
        </w:rPr>
        <w:instrText>Department of Economic Development, Jobs, Transport and Resources</w:instrText>
      </w:r>
    </w:fldSimple>
  </w:p>
  <w:p w:rsidR="00F752F4" w:rsidRDefault="00F752F4" w:rsidP="001A48C1">
    <w:pPr>
      <w:pStyle w:val="Footer-ToC"/>
    </w:pPr>
    <w:r>
      <w:instrText>PwC</w:instrText>
    </w:r>
    <w:r>
      <w:ptab w:relativeTo="margin" w:alignment="right" w:leader="none"/>
    </w:r>
    <w:r>
      <w:fldChar w:fldCharType="begin"/>
    </w:r>
    <w:r>
      <w:instrText xml:space="preserve"> PAGE </w:instrText>
    </w:r>
    <w:r>
      <w:fldChar w:fldCharType="separate"/>
    </w:r>
    <w:r w:rsidR="007765AB">
      <w:rPr>
        <w:noProof/>
      </w:rPr>
      <w:instrText>121</w:instrText>
    </w:r>
    <w:r>
      <w:rPr>
        <w:noProof/>
      </w:rPr>
      <w:fldChar w:fldCharType="end"/>
    </w:r>
    <w:r>
      <w:instrText xml:space="preserve">" </w:instrText>
    </w:r>
    <w:r w:rsidRPr="001A48C1">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F752F4" w:rsidRDefault="00F752F4" w:rsidP="001A48C1">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F752F4" w:rsidRDefault="00F752F4" w:rsidP="001A48C1">
    <w:pPr>
      <w:pStyle w:val="Footer-ToC"/>
    </w:pPr>
    <w:r>
      <w:instrText>" "</w:instrText>
    </w:r>
    <w:r>
      <w:ptab w:relativeTo="margin" w:alignment="right" w:leader="none"/>
    </w:r>
    <w:fldSimple w:instr=" STYLEREF &quot;Cover title&quot; ">
      <w:r>
        <w:rPr>
          <w:noProof/>
        </w:rPr>
        <w:instrText>Prospect name</w:instrText>
      </w:r>
    </w:fldSimple>
  </w:p>
  <w:p w:rsidR="00F752F4" w:rsidRDefault="00F752F4" w:rsidP="001A48C1">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F752F4" w:rsidRPr="001A48C1" w:rsidRDefault="00F752F4" w:rsidP="001A48C1">
    <w:pPr>
      <w:pStyle w:val="Footer-ToC"/>
      <w:rPr>
        <w:noProof/>
        <w:sz w:val="2"/>
      </w:rPr>
    </w:pPr>
    <w:r w:rsidRPr="001A48C1">
      <w:rPr>
        <w:sz w:val="2"/>
      </w:rPr>
      <w:instrText xml:space="preserve">" </w:instrText>
    </w:r>
    <w:r w:rsidRPr="001A48C1">
      <w:rPr>
        <w:sz w:val="2"/>
      </w:rPr>
      <w:fldChar w:fldCharType="separate"/>
    </w:r>
    <w:r w:rsidRPr="001A48C1">
      <w:rPr>
        <w:noProof/>
        <w:sz w:val="2"/>
      </w:rPr>
      <w:instrText>Prospect name</w:instrText>
    </w:r>
  </w:p>
  <w:p w:rsidR="00F752F4" w:rsidRPr="001A48C1" w:rsidRDefault="00F752F4" w:rsidP="001A48C1">
    <w:pPr>
      <w:pStyle w:val="Footer-ToC"/>
      <w:rPr>
        <w:noProof/>
        <w:sz w:val="2"/>
      </w:rPr>
    </w:pPr>
    <w:r w:rsidRPr="001A48C1">
      <w:rPr>
        <w:noProof/>
        <w:sz w:val="2"/>
      </w:rPr>
      <w:instrText>PwC</w:instrText>
    </w:r>
    <w:r w:rsidRPr="001A48C1">
      <w:rPr>
        <w:noProof/>
        <w:sz w:val="2"/>
      </w:rPr>
      <w:tab/>
      <w:instrText>5</w:instrText>
    </w:r>
    <w:r w:rsidRPr="001A48C1">
      <w:rPr>
        <w:noProof/>
        <w:sz w:val="2"/>
      </w:rPr>
      <w:tab/>
      <w:instrText>WWYLTG?</w:instrText>
    </w:r>
  </w:p>
  <w:p w:rsidR="007765AB" w:rsidRDefault="00F752F4" w:rsidP="001A48C1">
    <w:pPr>
      <w:pStyle w:val="Footer-ToC"/>
      <w:rPr>
        <w:noProof/>
      </w:rPr>
    </w:pPr>
    <w:r w:rsidRPr="001A48C1">
      <w:rPr>
        <w:sz w:val="2"/>
      </w:rPr>
      <w:fldChar w:fldCharType="end"/>
    </w:r>
    <w:r w:rsidRPr="001A48C1">
      <w:rPr>
        <w:sz w:val="2"/>
      </w:rPr>
      <w:instrText xml:space="preserve"> </w:instrText>
    </w:r>
    <w:r w:rsidRPr="001A48C1">
      <w:rPr>
        <w:sz w:val="2"/>
      </w:rPr>
      <w:fldChar w:fldCharType="separate"/>
    </w:r>
    <w:r w:rsidR="007765AB">
      <w:rPr>
        <w:noProof/>
      </w:rPr>
      <w:t>Department of Economic Development, Jobs, Transport and Resources</w:t>
    </w:r>
  </w:p>
  <w:p w:rsidR="00F752F4" w:rsidRPr="001A48C1" w:rsidRDefault="007765AB" w:rsidP="001A48C1">
    <w:pPr>
      <w:pStyle w:val="Footer-ToC"/>
      <w:rPr>
        <w:sz w:val="2"/>
      </w:rPr>
    </w:pPr>
    <w:r>
      <w:rPr>
        <w:noProof/>
      </w:rPr>
      <w:t>PwC</w:t>
    </w:r>
    <w:r>
      <w:rPr>
        <w:noProof/>
      </w:rPr>
      <w:ptab w:relativeTo="margin" w:alignment="right" w:leader="none"/>
    </w:r>
    <w:r>
      <w:rPr>
        <w:noProof/>
      </w:rPr>
      <w:t>121</w:t>
    </w:r>
    <w:r w:rsidR="00F752F4" w:rsidRPr="001A48C1">
      <w:rPr>
        <w:sz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1A48C1">
    <w:pPr>
      <w:pStyle w:val="URL"/>
      <w:framePr w:wrap="around"/>
    </w:pPr>
    <w:r>
      <w:t>www.pwc.com.au</w:t>
    </w:r>
  </w:p>
  <w:p w:rsidR="00F752F4" w:rsidRPr="00A84ADF" w:rsidRDefault="00F752F4" w:rsidP="00110CCE">
    <w:pPr>
      <w:pStyle w:val="Copyright"/>
      <w:framePr w:wrap="around"/>
    </w:pPr>
    <w:bookmarkStart w:id="431" w:name="DisclaimerEven"/>
    <w:r>
      <w:t xml:space="preserve">© 2016 PricewaterhouseCoopers. All rights reserved. </w:t>
    </w:r>
    <w:r>
      <w:br/>
      <w:t xml:space="preserve">PwC refers to PricewaterhouseCoopers, and may sometimes refer to the PwC network. Each member firm is a separate legal entity. Please see www.pwc.com/structure for further details. </w:t>
    </w:r>
    <w:r>
      <w:br/>
    </w:r>
    <w:r>
      <w:br/>
      <w:t>Liability limited by a scheme approved under Professional Standards Legislation</w:t>
    </w:r>
    <w:bookmarkEnd w:id="431"/>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1A48C1">
    <w:pPr>
      <w:pStyle w:val="URL"/>
      <w:framePr w:wrap="around"/>
    </w:pPr>
    <w:r>
      <w:t>www.pwc.com.au</w:t>
    </w:r>
  </w:p>
  <w:p w:rsidR="00F752F4" w:rsidRPr="00A84ADF" w:rsidRDefault="00F752F4" w:rsidP="001A48C1">
    <w:pPr>
      <w:pStyle w:val="Copyright"/>
      <w:framePr w:wrap="around"/>
    </w:pPr>
    <w:r>
      <w:t>© 2015 PricewaterhouseCoopers. All rights reserved.</w:t>
    </w:r>
    <w:r>
      <w:br/>
      <w:t>PwC refers to the Australian member firm, and may sometimes refer to the PwC network.</w:t>
    </w:r>
    <w:r>
      <w:br/>
      <w:t>Each member firm is a separate legal entity. Please see www.pwc.com/structure for further details.</w:t>
    </w:r>
    <w:r>
      <w:br/>
    </w:r>
    <w:r>
      <w:br/>
      <w:t>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
    </w:pPr>
    <w:fldSimple w:instr=" STYLEREF &quot;Cover Title&quot; ">
      <w:r w:rsidR="000E16FA">
        <w:rPr>
          <w:noProof/>
        </w:rPr>
        <w:t>Department of Economic Development, Jobs, Transport and Resources</w:t>
      </w:r>
    </w:fldSimple>
  </w:p>
  <w:p w:rsidR="00F752F4" w:rsidRPr="00A84ADF" w:rsidRDefault="00F752F4" w:rsidP="001A48C1">
    <w:pPr>
      <w:pStyle w:val="Footer"/>
    </w:pPr>
    <w:r>
      <w:t>PwC</w:t>
    </w:r>
    <w:r>
      <w:tab/>
    </w:r>
    <w:r>
      <w:fldChar w:fldCharType="begin"/>
    </w:r>
    <w:r>
      <w:instrText xml:space="preserve"> PAGE  \* MERGEFORMAT </w:instrText>
    </w:r>
    <w:r>
      <w:fldChar w:fldCharType="separate"/>
    </w:r>
    <w:r w:rsidR="007765AB">
      <w:rPr>
        <w:noProof/>
      </w:rPr>
      <w:t>vii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6650EF">
    <w:pPr>
      <w:pStyle w:val="Footer"/>
    </w:pPr>
    <w:r w:rsidRPr="006650EF">
      <w:rPr>
        <w:sz w:val="18"/>
      </w:rPr>
      <w:fldChar w:fldCharType="begin"/>
    </w:r>
    <w:r>
      <w:instrText xml:space="preserve"> IF </w:instrText>
    </w:r>
    <w:fldSimple w:instr=" DOCPROPERTY &quot;Mirror Margins&quot; ">
      <w:r>
        <w:instrText>N</w:instrText>
      </w:r>
    </w:fldSimple>
    <w:r>
      <w:instrText xml:space="preserve"> = "N" "</w:instrText>
    </w:r>
    <w:fldSimple w:instr=" STYLEREF &quot;Cover title&quot; ">
      <w:r w:rsidR="000E16FA">
        <w:rPr>
          <w:noProof/>
        </w:rPr>
        <w:instrText>Department of Economic Development, Jobs, Transport and Resources</w:instrText>
      </w:r>
    </w:fldSimple>
  </w:p>
  <w:p w:rsidR="00F752F4" w:rsidRDefault="00F752F4" w:rsidP="006650EF">
    <w:pPr>
      <w:pStyle w:val="Footer"/>
    </w:pPr>
    <w:r>
      <w:instrText>PwC</w:instrText>
    </w:r>
    <w:r>
      <w:ptab w:relativeTo="margin" w:alignment="right" w:leader="none"/>
    </w:r>
    <w:r>
      <w:fldChar w:fldCharType="begin"/>
    </w:r>
    <w:r>
      <w:instrText xml:space="preserve"> PAGE </w:instrText>
    </w:r>
    <w:r>
      <w:fldChar w:fldCharType="separate"/>
    </w:r>
    <w:r w:rsidR="000E16FA">
      <w:rPr>
        <w:noProof/>
      </w:rPr>
      <w:instrText>i</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F752F4" w:rsidRDefault="00F752F4"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F752F4" w:rsidRDefault="00F752F4" w:rsidP="006650EF">
    <w:pPr>
      <w:pStyle w:val="Footer-Even"/>
    </w:pPr>
    <w:r>
      <w:instrText>" "</w:instrText>
    </w:r>
    <w:r>
      <w:ptab w:relativeTo="margin" w:alignment="right" w:leader="none"/>
    </w:r>
    <w:fldSimple w:instr=" STYLEREF &quot;Cover title&quot; ">
      <w:r>
        <w:rPr>
          <w:noProof/>
        </w:rPr>
        <w:instrText>Prospect name</w:instrText>
      </w:r>
    </w:fldSimple>
  </w:p>
  <w:p w:rsidR="00F752F4" w:rsidRDefault="00F752F4"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F752F4" w:rsidRPr="006650EF" w:rsidRDefault="00F752F4"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F752F4" w:rsidRPr="006650EF" w:rsidRDefault="00F752F4"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0E16FA" w:rsidRDefault="00F752F4"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0E16FA">
      <w:rPr>
        <w:noProof/>
      </w:rPr>
      <w:t>Department of Economic Development, Jobs, Transport and Resources</w:t>
    </w:r>
  </w:p>
  <w:p w:rsidR="00F752F4" w:rsidRPr="006650EF" w:rsidRDefault="000E16FA" w:rsidP="006650EF">
    <w:pPr>
      <w:pStyle w:val="Footer"/>
      <w:rPr>
        <w:sz w:val="2"/>
      </w:rPr>
    </w:pPr>
    <w:r>
      <w:rPr>
        <w:noProof/>
      </w:rPr>
      <w:t>PwC</w:t>
    </w:r>
    <w:r>
      <w:rPr>
        <w:noProof/>
      </w:rPr>
      <w:ptab w:relativeTo="margin" w:alignment="right" w:leader="none"/>
    </w:r>
    <w:r>
      <w:rPr>
        <w:noProof/>
      </w:rPr>
      <w:t>i</w:t>
    </w:r>
    <w:r w:rsidR="00F752F4" w:rsidRPr="006650EF">
      <w:rPr>
        <w:sz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ToCEven"/>
    </w:pPr>
    <w:fldSimple w:instr=" STYLEREF &quot;Cover Title&quot; ">
      <w:r w:rsidR="00F752F4">
        <w:rPr>
          <w:noProof/>
        </w:rPr>
        <w:t>Department of Economic Development, Jobs, Transport and Resources</w:t>
      </w:r>
    </w:fldSimple>
  </w:p>
  <w:p w:rsidR="00F752F4" w:rsidRPr="006650EF" w:rsidRDefault="00F752F4" w:rsidP="001A48C1">
    <w:pPr>
      <w:pStyle w:val="Footer-ToCEven"/>
    </w:pPr>
    <w:r>
      <w:t>PwC</w:t>
    </w:r>
    <w:r>
      <w:tab/>
    </w:r>
    <w:r>
      <w:fldChar w:fldCharType="begin"/>
    </w:r>
    <w:r>
      <w:instrText xml:space="preserve"> PAGE  \* MERGEFORMAT </w:instrText>
    </w:r>
    <w:r>
      <w:fldChar w:fldCharType="separate"/>
    </w:r>
    <w:r>
      <w:rPr>
        <w:noProof/>
      </w:rPr>
      <w:t>xvi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ToC"/>
    </w:pPr>
    <w:fldSimple w:instr=" STYLEREF &quot;Cover Title&quot; ">
      <w:r w:rsidR="00F752F4">
        <w:rPr>
          <w:noProof/>
        </w:rPr>
        <w:t>Department of Economic Development, Jobs, Transport and Resources</w:t>
      </w:r>
    </w:fldSimple>
  </w:p>
  <w:p w:rsidR="00F752F4" w:rsidRPr="00A84ADF" w:rsidRDefault="00F752F4" w:rsidP="001A48C1">
    <w:pPr>
      <w:pStyle w:val="Footer-ToC"/>
    </w:pPr>
    <w:r>
      <w:t>PwC</w:t>
    </w:r>
    <w:r>
      <w:tab/>
    </w: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1A48C1">
    <w:pPr>
      <w:pStyle w:val="Footer-ToC"/>
    </w:pPr>
    <w:r w:rsidRPr="006650EF">
      <w:rPr>
        <w:sz w:val="18"/>
      </w:rPr>
      <w:fldChar w:fldCharType="begin"/>
    </w:r>
    <w:r>
      <w:instrText xml:space="preserve"> IF </w:instrText>
    </w:r>
    <w:fldSimple w:instr=" DOCPROPERTY &quot;Mirror Margins&quot; ">
      <w:r>
        <w:instrText>N</w:instrText>
      </w:r>
    </w:fldSimple>
    <w:r>
      <w:instrText xml:space="preserve"> = "N" "</w:instrText>
    </w:r>
    <w:fldSimple w:instr=" STYLEREF &quot;Cover title&quot; ">
      <w:r w:rsidR="007765AB">
        <w:rPr>
          <w:noProof/>
        </w:rPr>
        <w:instrText>Department of Economic Development, Jobs, Transport and Resources</w:instrText>
      </w:r>
    </w:fldSimple>
  </w:p>
  <w:p w:rsidR="00F752F4" w:rsidRDefault="00F752F4" w:rsidP="001A48C1">
    <w:pPr>
      <w:pStyle w:val="Footer-ToC"/>
    </w:pPr>
    <w:r>
      <w:instrText>PwC</w:instrText>
    </w:r>
    <w:r>
      <w:ptab w:relativeTo="margin" w:alignment="right" w:leader="none"/>
    </w:r>
    <w:r>
      <w:fldChar w:fldCharType="begin"/>
    </w:r>
    <w:r>
      <w:instrText xml:space="preserve"> PAGE </w:instrText>
    </w:r>
    <w:r>
      <w:fldChar w:fldCharType="separate"/>
    </w:r>
    <w:r w:rsidR="007765AB">
      <w:rPr>
        <w:noProof/>
      </w:rPr>
      <w:instrText>ix</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F752F4" w:rsidRDefault="00F752F4" w:rsidP="001A48C1">
    <w:pPr>
      <w:pStyle w:val="Footer-ToC"/>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F752F4" w:rsidRDefault="00F752F4" w:rsidP="001A48C1">
    <w:pPr>
      <w:pStyle w:val="Footer-ToC"/>
    </w:pPr>
    <w:r>
      <w:instrText>" "</w:instrText>
    </w:r>
    <w:r>
      <w:ptab w:relativeTo="margin" w:alignment="right" w:leader="none"/>
    </w:r>
    <w:fldSimple w:instr=" STYLEREF &quot;Cover title&quot; ">
      <w:r>
        <w:rPr>
          <w:noProof/>
        </w:rPr>
        <w:instrText>Prospect name</w:instrText>
      </w:r>
    </w:fldSimple>
  </w:p>
  <w:p w:rsidR="00F752F4" w:rsidRDefault="00F752F4" w:rsidP="001A48C1">
    <w:pPr>
      <w:pStyle w:val="Footer-ToC"/>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F752F4" w:rsidRPr="006650EF" w:rsidRDefault="00F752F4" w:rsidP="001A48C1">
    <w:pPr>
      <w:pStyle w:val="Footer-ToC"/>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F752F4" w:rsidRPr="006650EF" w:rsidRDefault="00F752F4" w:rsidP="001A48C1">
    <w:pPr>
      <w:pStyle w:val="Footer-ToC"/>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7765AB" w:rsidRDefault="00F752F4" w:rsidP="001A48C1">
    <w:pPr>
      <w:pStyle w:val="Footer-ToC"/>
      <w:rPr>
        <w:noProof/>
      </w:rPr>
    </w:pPr>
    <w:r w:rsidRPr="006650EF">
      <w:rPr>
        <w:sz w:val="2"/>
      </w:rPr>
      <w:fldChar w:fldCharType="end"/>
    </w:r>
    <w:r w:rsidRPr="006650EF">
      <w:rPr>
        <w:sz w:val="2"/>
      </w:rPr>
      <w:instrText xml:space="preserve"> </w:instrText>
    </w:r>
    <w:r w:rsidRPr="006650EF">
      <w:rPr>
        <w:sz w:val="2"/>
      </w:rPr>
      <w:fldChar w:fldCharType="separate"/>
    </w:r>
    <w:r w:rsidR="007765AB">
      <w:rPr>
        <w:noProof/>
      </w:rPr>
      <w:t>Department of Economic Development, Jobs, Transport and Resources</w:t>
    </w:r>
  </w:p>
  <w:p w:rsidR="00F752F4" w:rsidRPr="006650EF" w:rsidRDefault="007765AB" w:rsidP="001A48C1">
    <w:pPr>
      <w:pStyle w:val="Footer-ToC"/>
      <w:rPr>
        <w:sz w:val="2"/>
      </w:rPr>
    </w:pPr>
    <w:r>
      <w:rPr>
        <w:noProof/>
      </w:rPr>
      <w:t>PwC</w:t>
    </w:r>
    <w:r>
      <w:rPr>
        <w:noProof/>
      </w:rPr>
      <w:ptab w:relativeTo="margin" w:alignment="right" w:leader="none"/>
    </w:r>
    <w:r>
      <w:rPr>
        <w:noProof/>
      </w:rPr>
      <w:t>ix</w:t>
    </w:r>
    <w:r w:rsidR="00F752F4" w:rsidRPr="006650EF">
      <w:rPr>
        <w:sz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7765AB" w:rsidP="001A48C1">
    <w:pPr>
      <w:pStyle w:val="Footer-Even"/>
    </w:pPr>
    <w:fldSimple w:instr=" STYLEREF &quot;Cover Title&quot; ">
      <w:r>
        <w:rPr>
          <w:noProof/>
        </w:rPr>
        <w:t>Department of Economic Development, Jobs, Transport and Resources</w:t>
      </w:r>
    </w:fldSimple>
  </w:p>
  <w:p w:rsidR="00F752F4" w:rsidRPr="006650EF" w:rsidRDefault="00F752F4" w:rsidP="001A48C1">
    <w:pPr>
      <w:pStyle w:val="Footer-Even"/>
    </w:pPr>
    <w:r>
      <w:t>PwC</w:t>
    </w:r>
    <w:r>
      <w:ptab w:relativeTo="margin" w:alignment="right" w:leader="none"/>
    </w:r>
    <w:r>
      <w:fldChar w:fldCharType="begin"/>
    </w:r>
    <w:r>
      <w:instrText xml:space="preserve"> PAGE  \* MERGEFORMAT </w:instrText>
    </w:r>
    <w:r>
      <w:fldChar w:fldCharType="separate"/>
    </w:r>
    <w:r w:rsidR="007765AB">
      <w:rPr>
        <w:noProof/>
      </w:rPr>
      <w:t>96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8C6722" w:rsidRDefault="007765AB" w:rsidP="001A48C1">
    <w:pPr>
      <w:pStyle w:val="Footer"/>
    </w:pPr>
    <w:fldSimple w:instr=" STYLEREF &quot;Cover Title&quot; ">
      <w:r>
        <w:rPr>
          <w:noProof/>
        </w:rPr>
        <w:t>Department of Economic Development, Jobs, Transport and Resources</w:t>
      </w:r>
    </w:fldSimple>
  </w:p>
  <w:p w:rsidR="00F752F4" w:rsidRPr="008C6722" w:rsidRDefault="00F752F4" w:rsidP="001A48C1">
    <w:pPr>
      <w:pStyle w:val="Footer"/>
    </w:pPr>
    <w:r w:rsidRPr="008C6722">
      <w:t>PwC</w:t>
    </w:r>
    <w:r>
      <w:ptab w:relativeTo="margin" w:alignment="right" w:leader="none"/>
    </w:r>
    <w:r>
      <w:fldChar w:fldCharType="begin"/>
    </w:r>
    <w:r>
      <w:instrText xml:space="preserve"> PAGE  \* MERGEFORMAT </w:instrText>
    </w:r>
    <w:r>
      <w:fldChar w:fldCharType="separate"/>
    </w:r>
    <w:r w:rsidR="007765AB">
      <w:rPr>
        <w:noProof/>
      </w:rPr>
      <w:t>99</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6650EF">
    <w:pPr>
      <w:pStyle w:val="Footer"/>
    </w:pPr>
    <w:r w:rsidRPr="006650EF">
      <w:rPr>
        <w:sz w:val="18"/>
      </w:rPr>
      <w:fldChar w:fldCharType="begin"/>
    </w:r>
    <w:r>
      <w:instrText xml:space="preserve"> IF </w:instrText>
    </w:r>
    <w:fldSimple w:instr=" DOCPROPERTY &quot;Mirror Margins&quot; ">
      <w:r>
        <w:instrText>N</w:instrText>
      </w:r>
    </w:fldSimple>
    <w:r>
      <w:instrText xml:space="preserve"> = "N" "</w:instrText>
    </w:r>
    <w:fldSimple w:instr=" STYLEREF &quot;Cover title&quot; ">
      <w:r w:rsidR="007765AB">
        <w:rPr>
          <w:noProof/>
        </w:rPr>
        <w:instrText>Department of Economic Development, Jobs, Transport and Resources</w:instrText>
      </w:r>
    </w:fldSimple>
  </w:p>
  <w:p w:rsidR="00F752F4" w:rsidRDefault="00F752F4" w:rsidP="006650EF">
    <w:pPr>
      <w:pStyle w:val="Footer"/>
    </w:pPr>
    <w:r>
      <w:instrText>PwC</w:instrText>
    </w:r>
    <w:r>
      <w:ptab w:relativeTo="margin" w:alignment="right" w:leader="none"/>
    </w:r>
    <w:r>
      <w:fldChar w:fldCharType="begin"/>
    </w:r>
    <w:r>
      <w:instrText xml:space="preserve"> PAGE </w:instrText>
    </w:r>
    <w:r>
      <w:fldChar w:fldCharType="separate"/>
    </w:r>
    <w:r w:rsidR="007765AB">
      <w:rPr>
        <w:noProof/>
      </w:rPr>
      <w:instrText>98</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fldSimple w:instr=" STYLEREF &quot;Cover title&quot; ">
      <w:r>
        <w:rPr>
          <w:noProof/>
        </w:rPr>
        <w:instrText>Prospect name</w:instrText>
      </w:r>
    </w:fldSimple>
  </w:p>
  <w:p w:rsidR="00F752F4" w:rsidRDefault="00F752F4"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rsidR="00F752F4" w:rsidRDefault="00F752F4" w:rsidP="006650EF">
    <w:pPr>
      <w:pStyle w:val="Footer-Even"/>
    </w:pPr>
    <w:r>
      <w:instrText>" "</w:instrText>
    </w:r>
    <w:r>
      <w:ptab w:relativeTo="margin" w:alignment="right" w:leader="none"/>
    </w:r>
    <w:fldSimple w:instr=" STYLEREF &quot;Cover title&quot; ">
      <w:r>
        <w:rPr>
          <w:noProof/>
        </w:rPr>
        <w:instrText>Prospect name</w:instrText>
      </w:r>
    </w:fldSimple>
  </w:p>
  <w:p w:rsidR="00F752F4" w:rsidRDefault="00F752F4"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rsidR="00F752F4" w:rsidRPr="006650EF" w:rsidRDefault="00F752F4"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rsidR="00F752F4" w:rsidRPr="006650EF" w:rsidRDefault="00F752F4"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rsidR="007765AB" w:rsidRDefault="00F752F4"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sidR="007765AB">
      <w:rPr>
        <w:noProof/>
      </w:rPr>
      <w:t>Department of Economic Development, Jobs, Transport and Resources</w:t>
    </w:r>
  </w:p>
  <w:p w:rsidR="00F752F4" w:rsidRPr="006650EF" w:rsidRDefault="007765AB" w:rsidP="006650EF">
    <w:pPr>
      <w:pStyle w:val="Footer"/>
      <w:rPr>
        <w:sz w:val="2"/>
      </w:rPr>
    </w:pPr>
    <w:r>
      <w:rPr>
        <w:noProof/>
      </w:rPr>
      <w:t>PwC</w:t>
    </w:r>
    <w:r>
      <w:rPr>
        <w:noProof/>
      </w:rPr>
      <w:ptab w:relativeTo="margin" w:alignment="right" w:leader="none"/>
    </w:r>
    <w:r>
      <w:rPr>
        <w:noProof/>
      </w:rPr>
      <w:t>98</w:t>
    </w:r>
    <w:r w:rsidR="00F752F4" w:rsidRPr="006650EF">
      <w:rPr>
        <w:sz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2F4" w:rsidRDefault="00F752F4" w:rsidP="004343B3">
      <w:pPr>
        <w:pStyle w:val="Separator"/>
      </w:pPr>
      <w:r>
        <w:separator/>
      </w:r>
    </w:p>
    <w:p w:rsidR="00F752F4" w:rsidRDefault="00F752F4"/>
  </w:footnote>
  <w:footnote w:type="continuationSeparator" w:id="0">
    <w:p w:rsidR="00F752F4" w:rsidRDefault="00F752F4" w:rsidP="004343B3">
      <w:pPr>
        <w:pStyle w:val="Separator"/>
      </w:pPr>
      <w:r>
        <w:continuationSeparator/>
      </w:r>
    </w:p>
    <w:p w:rsidR="00F752F4" w:rsidRDefault="00F752F4"/>
  </w:footnote>
  <w:footnote w:type="continuationNotice" w:id="1">
    <w:p w:rsidR="00F752F4" w:rsidRPr="00F20B7D" w:rsidRDefault="00F752F4" w:rsidP="00F20B7D">
      <w:pPr>
        <w:pStyle w:val="Footer"/>
        <w:rPr>
          <w:sz w:val="2"/>
          <w:szCs w:val="2"/>
        </w:rPr>
      </w:pPr>
    </w:p>
    <w:p w:rsidR="00F752F4" w:rsidRDefault="00F752F4"/>
  </w:footnote>
  <w:footnote w:id="2">
    <w:p w:rsidR="00F752F4" w:rsidRDefault="00F752F4" w:rsidP="0068395B">
      <w:pPr>
        <w:pStyle w:val="FootnoteText"/>
      </w:pPr>
      <w:r>
        <w:rPr>
          <w:rStyle w:val="FootnoteReference"/>
        </w:rPr>
        <w:footnoteRef/>
      </w:r>
      <w:r>
        <w:t xml:space="preserve"> </w:t>
      </w:r>
      <w:r w:rsidRPr="001E0793">
        <w:t>Department of Economic Development, Jobs, Transport and Resources (2014)</w:t>
      </w:r>
      <w:r>
        <w:t>.</w:t>
      </w:r>
    </w:p>
  </w:footnote>
  <w:footnote w:id="3">
    <w:p w:rsidR="00F752F4" w:rsidRDefault="00F752F4" w:rsidP="0068395B">
      <w:pPr>
        <w:pStyle w:val="FootnoteText"/>
      </w:pPr>
      <w:r>
        <w:rPr>
          <w:rStyle w:val="FootnoteReference"/>
        </w:rPr>
        <w:footnoteRef/>
      </w:r>
      <w:r>
        <w:t xml:space="preserve"> The Taskforce includes both industry and Government representation and is supported by a Reference Group of broader stakeholders.</w:t>
      </w:r>
    </w:p>
  </w:footnote>
  <w:footnote w:id="4">
    <w:p w:rsidR="00F752F4" w:rsidRDefault="00F752F4" w:rsidP="0068395B">
      <w:pPr>
        <w:pStyle w:val="FootnoteText"/>
        <w:tabs>
          <w:tab w:val="clear" w:pos="284"/>
          <w:tab w:val="left" w:pos="142"/>
        </w:tabs>
        <w:ind w:left="142" w:hanging="142"/>
      </w:pPr>
      <w:r>
        <w:rPr>
          <w:rStyle w:val="FootnoteReference"/>
        </w:rPr>
        <w:footnoteRef/>
      </w:r>
      <w:r>
        <w:t xml:space="preserve"> PwC has created a platform</w:t>
      </w:r>
      <w:r w:rsidRPr="00837079">
        <w:t xml:space="preserve"> called the Geospatial Economic Model (GEM) that has the ability to correlate and ‘layer’ industry data onto any given designed ‘region’ of choice. Data collected through the Demand An</w:t>
      </w:r>
      <w:r>
        <w:t xml:space="preserve">alysis and Supply Analysis were integrated </w:t>
      </w:r>
      <w:r w:rsidRPr="00837079">
        <w:t xml:space="preserve">into </w:t>
      </w:r>
      <w:r>
        <w:t>the</w:t>
      </w:r>
      <w:r w:rsidRPr="00837079">
        <w:t xml:space="preserve"> GEM</w:t>
      </w:r>
      <w:r>
        <w:t xml:space="preserve"> platform.</w:t>
      </w:r>
    </w:p>
  </w:footnote>
  <w:footnote w:id="5">
    <w:p w:rsidR="00F752F4" w:rsidRDefault="00F752F4" w:rsidP="0068395B">
      <w:pPr>
        <w:pStyle w:val="FootnoteText"/>
      </w:pPr>
      <w:r>
        <w:rPr>
          <w:rStyle w:val="FootnoteReference"/>
        </w:rPr>
        <w:footnoteRef/>
      </w:r>
      <w:r>
        <w:t xml:space="preserve"> </w:t>
      </w:r>
      <w:r w:rsidRPr="009F14A8">
        <w:t xml:space="preserve">Externality costs comprise approximately 45 per cent of the total estimated transport costs presented here.  This suggests that industry could expect to bear just under half of these estimated costs, with the remaining costs comprising social and environmental costs that would be borne by </w:t>
      </w:r>
      <w:r>
        <w:t>the community</w:t>
      </w:r>
      <w:r w:rsidRPr="009F14A8">
        <w:t xml:space="preserve"> more broadly.</w:t>
      </w:r>
    </w:p>
  </w:footnote>
  <w:footnote w:id="6">
    <w:p w:rsidR="00F752F4" w:rsidRDefault="00F752F4" w:rsidP="0068395B">
      <w:pPr>
        <w:pStyle w:val="FootnoteText"/>
      </w:pPr>
      <w:r>
        <w:rPr>
          <w:rStyle w:val="FootnoteReference"/>
        </w:rPr>
        <w:footnoteRef/>
      </w:r>
      <w:r>
        <w:t xml:space="preserve"> This includes Bass Coast, Cardinia, Casey, Frankston, Knox, Mornington Peninsula, Whitehorse and the Yarra Ranges.</w:t>
      </w:r>
    </w:p>
  </w:footnote>
  <w:footnote w:id="7">
    <w:p w:rsidR="00F752F4" w:rsidRDefault="00F752F4" w:rsidP="0068395B">
      <w:pPr>
        <w:pStyle w:val="FootnoteText"/>
      </w:pPr>
      <w:r>
        <w:rPr>
          <w:rStyle w:val="FootnoteReference"/>
        </w:rPr>
        <w:footnoteRef/>
      </w:r>
      <w:r>
        <w:t xml:space="preserve"> </w:t>
      </w:r>
      <w:r w:rsidRPr="00041F69">
        <w:t>Through stakeholder consultations</w:t>
      </w:r>
      <w:r>
        <w:t>, the analysis has found</w:t>
      </w:r>
      <w:r w:rsidRPr="00041F69">
        <w:t xml:space="preserve"> that extractive </w:t>
      </w:r>
      <w:r>
        <w:t xml:space="preserve">products </w:t>
      </w:r>
      <w:r w:rsidRPr="00041F69">
        <w:t>represent</w:t>
      </w:r>
      <w:r>
        <w:t>,</w:t>
      </w:r>
      <w:r w:rsidRPr="00041F69">
        <w:t xml:space="preserve"> on average</w:t>
      </w:r>
      <w:r>
        <w:t>,</w:t>
      </w:r>
      <w:r w:rsidRPr="00041F69">
        <w:t xml:space="preserve"> 35% of total project costs</w:t>
      </w:r>
      <w:r>
        <w:t xml:space="preserve"> (this proportion comprises extractive materials costs only and excludes costs associated with transporting and handling these materials).</w:t>
      </w:r>
    </w:p>
  </w:footnote>
  <w:footnote w:id="8">
    <w:p w:rsidR="00F752F4" w:rsidRDefault="00F752F4">
      <w:pPr>
        <w:pStyle w:val="FootnoteText"/>
      </w:pPr>
      <w:r>
        <w:rPr>
          <w:rStyle w:val="FootnoteReference"/>
        </w:rPr>
        <w:footnoteRef/>
      </w:r>
      <w:r>
        <w:t xml:space="preserve"> </w:t>
      </w:r>
      <w:r w:rsidRPr="001E0793">
        <w:t>Department of Economic Development, Jobs, Transport and Resources (2014)</w:t>
      </w:r>
      <w:r>
        <w:t>.</w:t>
      </w:r>
    </w:p>
  </w:footnote>
  <w:footnote w:id="9">
    <w:p w:rsidR="00F752F4" w:rsidRDefault="00F752F4">
      <w:pPr>
        <w:pStyle w:val="FootnoteText"/>
      </w:pPr>
      <w:r>
        <w:rPr>
          <w:rStyle w:val="FootnoteReference"/>
        </w:rPr>
        <w:footnoteRef/>
      </w:r>
      <w:r>
        <w:t xml:space="preserve"> Economic Development and Infrastructure Committee</w:t>
      </w:r>
    </w:p>
  </w:footnote>
  <w:footnote w:id="10">
    <w:p w:rsidR="00F752F4" w:rsidRDefault="00F752F4">
      <w:pPr>
        <w:pStyle w:val="FootnoteText"/>
      </w:pPr>
      <w:r>
        <w:rPr>
          <w:rStyle w:val="FootnoteReference"/>
        </w:rPr>
        <w:footnoteRef/>
      </w:r>
      <w:r>
        <w:t xml:space="preserve"> </w:t>
      </w:r>
      <w:r w:rsidRPr="00FD7D9A">
        <w:t xml:space="preserve">Consistent with the </w:t>
      </w:r>
      <w:r>
        <w:t xml:space="preserve">Mineral Resources (Sustainable Development) Act </w:t>
      </w:r>
      <w:r w:rsidRPr="00952FD0">
        <w:t>1990</w:t>
      </w:r>
    </w:p>
  </w:footnote>
  <w:footnote w:id="11">
    <w:p w:rsidR="00F752F4" w:rsidRDefault="00F752F4">
      <w:pPr>
        <w:pStyle w:val="FootnoteText"/>
      </w:pPr>
      <w:r>
        <w:rPr>
          <w:rStyle w:val="FootnoteReference"/>
        </w:rPr>
        <w:footnoteRef/>
      </w:r>
      <w:r>
        <w:t xml:space="preserve"> As reported in the Extractives Industry Survey conducted by PwC as part of this analysis.</w:t>
      </w:r>
    </w:p>
  </w:footnote>
  <w:footnote w:id="12">
    <w:p w:rsidR="00F752F4" w:rsidRDefault="00F752F4">
      <w:pPr>
        <w:pStyle w:val="FootnoteText"/>
      </w:pPr>
      <w:r>
        <w:rPr>
          <w:rStyle w:val="FootnoteReference"/>
        </w:rPr>
        <w:footnoteRef/>
      </w:r>
      <w:r>
        <w:t xml:space="preserve"> PwC has created a platform</w:t>
      </w:r>
      <w:r w:rsidRPr="00837079">
        <w:t xml:space="preserve"> called the Geospatial Economic Model (GEM) that has the ability to correlate and ‘layer’ industry data onto any given designed ‘region’ of choice. Data collected through the Demand An</w:t>
      </w:r>
      <w:r>
        <w:t xml:space="preserve">alysis and Supply Analysis were integrated </w:t>
      </w:r>
      <w:r w:rsidRPr="00837079">
        <w:t xml:space="preserve">into </w:t>
      </w:r>
      <w:r>
        <w:t>the</w:t>
      </w:r>
      <w:r w:rsidRPr="00837079">
        <w:t xml:space="preserve"> GEM</w:t>
      </w:r>
      <w:r>
        <w:t xml:space="preserve"> platform.</w:t>
      </w:r>
    </w:p>
  </w:footnote>
  <w:footnote w:id="13">
    <w:p w:rsidR="00F752F4" w:rsidRDefault="00F752F4">
      <w:pPr>
        <w:pStyle w:val="FootnoteText"/>
      </w:pPr>
      <w:r>
        <w:rPr>
          <w:rStyle w:val="FootnoteReference"/>
        </w:rPr>
        <w:footnoteRef/>
      </w:r>
      <w:r>
        <w:t xml:space="preserve"> </w:t>
      </w:r>
      <w:r w:rsidRPr="00AD370C">
        <w:t xml:space="preserve">This approach had some limitations, including lack of accuracy in calculating transport costs as these costs are only registered when materials are sent across LGA boundaries, and assumes transport from the centre point of an LGA. These limitations are exacerbated when considering larger LGAs, </w:t>
      </w:r>
      <w:r>
        <w:t>such as</w:t>
      </w:r>
      <w:r w:rsidRPr="00AD370C">
        <w:t xml:space="preserve"> the Yarra Ranges or Cardinia in Eastern Victoria.</w:t>
      </w:r>
    </w:p>
  </w:footnote>
  <w:footnote w:id="14">
    <w:p w:rsidR="00F752F4" w:rsidRDefault="00F752F4" w:rsidP="00AD370C">
      <w:pPr>
        <w:pStyle w:val="FootnoteText"/>
      </w:pPr>
      <w:r>
        <w:rPr>
          <w:rStyle w:val="FootnoteReference"/>
        </w:rPr>
        <w:footnoteRef/>
      </w:r>
      <w:r>
        <w:t xml:space="preserve"> ABS, </w:t>
      </w:r>
      <w:r w:rsidRPr="00581332">
        <w:t xml:space="preserve">1270.0.55.004 - Australian Statistical Geography Standard (ASGS): Volume 4 - Significant Urban Areas, Urban Centres and Localities, Section of State, July 2011  </w:t>
      </w:r>
    </w:p>
  </w:footnote>
  <w:footnote w:id="15">
    <w:p w:rsidR="00F752F4" w:rsidRDefault="00F752F4" w:rsidP="00622D10">
      <w:pPr>
        <w:pStyle w:val="FootnoteText"/>
      </w:pPr>
      <w:r>
        <w:rPr>
          <w:rStyle w:val="FootnoteReference"/>
        </w:rPr>
        <w:footnoteRef/>
      </w:r>
      <w:r>
        <w:t xml:space="preserve"> The proportion of each LGA’s demand that related to engineering construction demand was allocated to the LGA centroid. </w:t>
      </w:r>
    </w:p>
  </w:footnote>
  <w:footnote w:id="16">
    <w:p w:rsidR="00F752F4" w:rsidRDefault="00F752F4">
      <w:pPr>
        <w:pStyle w:val="FootnoteText"/>
      </w:pPr>
      <w:r>
        <w:rPr>
          <w:rStyle w:val="FootnoteReference"/>
        </w:rPr>
        <w:footnoteRef/>
      </w:r>
      <w:r>
        <w:t xml:space="preserve"> Clusters of localities in the figure occur where several distinct towns and localities are located in close proximity, for instance in Southern Victoria and in the Yarra Ranges region. </w:t>
      </w:r>
    </w:p>
  </w:footnote>
  <w:footnote w:id="17">
    <w:p w:rsidR="00F752F4" w:rsidRDefault="00F752F4">
      <w:pPr>
        <w:pStyle w:val="FootnoteText"/>
      </w:pPr>
      <w:r>
        <w:rPr>
          <w:rStyle w:val="FootnoteReference"/>
        </w:rPr>
        <w:footnoteRef/>
      </w:r>
      <w:r>
        <w:t xml:space="preserve"> Using DEDJTR records for 2013-14 extractives production in Victoria.</w:t>
      </w:r>
    </w:p>
  </w:footnote>
  <w:footnote w:id="18">
    <w:p w:rsidR="00F752F4" w:rsidRDefault="00F752F4">
      <w:pPr>
        <w:pStyle w:val="FootnoteText"/>
      </w:pPr>
      <w:r>
        <w:rPr>
          <w:rStyle w:val="FootnoteReference"/>
        </w:rPr>
        <w:footnoteRef/>
      </w:r>
      <w:r>
        <w:t xml:space="preserve"> (C) refers to City, (S) to Shire and (RC) to Rural City.</w:t>
      </w:r>
    </w:p>
  </w:footnote>
  <w:footnote w:id="19">
    <w:p w:rsidR="00F752F4" w:rsidRDefault="00F752F4" w:rsidP="00AD51FA">
      <w:pPr>
        <w:pStyle w:val="FootnoteText"/>
      </w:pPr>
      <w:r>
        <w:rPr>
          <w:rStyle w:val="FootnoteReference"/>
        </w:rPr>
        <w:footnoteRef/>
      </w:r>
      <w:r>
        <w:t xml:space="preserve"> Trachyte and Quartzite licensed reserves are exhausted across the analysis period. Given the relatively small volumes traded of these resources, however, these exhaustions have not been treated as critical within the context of the analysis. Additionally, Marble and Dolerite resources were considered in the supply analysis, though no demand for these resources was estimated between 2015 to 2050. </w:t>
      </w:r>
    </w:p>
  </w:footnote>
  <w:footnote w:id="20">
    <w:p w:rsidR="00F752F4" w:rsidRDefault="00F752F4" w:rsidP="00A31B97">
      <w:pPr>
        <w:pStyle w:val="FootnoteText"/>
      </w:pPr>
      <w:r>
        <w:rPr>
          <w:rStyle w:val="FootnoteReference"/>
        </w:rPr>
        <w:footnoteRef/>
      </w:r>
      <w:r>
        <w:t xml:space="preserve"> Swinburne University of Technology Centre for Sustainable Infrastructure, Crushed Brick as a Supplementary Material in Cement Treated Crushed Concrete Pavement Applications, 2013. </w:t>
      </w:r>
      <w:r>
        <w:cr/>
      </w:r>
    </w:p>
  </w:footnote>
  <w:footnote w:id="21">
    <w:p w:rsidR="00F752F4" w:rsidRDefault="00F752F4" w:rsidP="00A03F70">
      <w:pPr>
        <w:pStyle w:val="FootnoteText"/>
      </w:pPr>
      <w:r>
        <w:rPr>
          <w:rStyle w:val="FootnoteReference"/>
        </w:rPr>
        <w:footnoteRef/>
      </w:r>
      <w:r>
        <w:t xml:space="preserve"> Trachyte and Quartzite licensed reserves are exhausted across the analysis period. Given the relatively small volumes traded of these resources, however, these exhaustions have not been treated as critical within the context of the analysis. Additionally, Marble and Dolerite resources were considered in the supply analysis, though no demand for these resources was estimated between 2015 to 50.</w:t>
      </w:r>
    </w:p>
  </w:footnote>
  <w:footnote w:id="22">
    <w:p w:rsidR="00F752F4" w:rsidRDefault="00F752F4" w:rsidP="00265E4D">
      <w:pPr>
        <w:pStyle w:val="FootnoteText"/>
      </w:pPr>
      <w:r>
        <w:rPr>
          <w:rStyle w:val="FootnoteReference"/>
        </w:rPr>
        <w:footnoteRef/>
      </w:r>
      <w:r>
        <w:t xml:space="preserve"> </w:t>
      </w:r>
      <w:r>
        <w:t xml:space="preserve">Sibelco Australia is a sand, soil and gravel supplier operating in Victoria. </w:t>
      </w:r>
    </w:p>
  </w:footnote>
  <w:footnote w:id="23">
    <w:p w:rsidR="00F752F4" w:rsidRDefault="00F752F4" w:rsidP="00F12609">
      <w:pPr>
        <w:pStyle w:val="FootnoteText"/>
      </w:pPr>
      <w:r>
        <w:rPr>
          <w:rStyle w:val="FootnoteReference"/>
        </w:rPr>
        <w:footnoteRef/>
      </w:r>
      <w:r>
        <w:t xml:space="preserve"> A high supply scenario was considered in early stages of the analysis but not implemented as part of the final suite of modelling. As a high supply outcome was unlikely against any demand setting other than high demand, and a matching of high supply to high demand would not reveal significantly different results to those seen under the base case, this scenario was abandoned.</w:t>
      </w:r>
    </w:p>
  </w:footnote>
  <w:footnote w:id="24">
    <w:p w:rsidR="00F752F4" w:rsidRDefault="00F752F4" w:rsidP="009903E2">
      <w:pPr>
        <w:pStyle w:val="FootnoteText"/>
      </w:pPr>
      <w:r>
        <w:rPr>
          <w:rStyle w:val="FootnoteReference"/>
        </w:rPr>
        <w:footnoteRef/>
      </w:r>
      <w:r>
        <w:t xml:space="preserve"> The Cost Reckoner provides a breakdown of transport costs by tonne-kilometre for extractive resources in Victoria. The reckoner specifies different models for different region types (urban stop-start, urban free-flow and rural) and was issued to PwC by EY as part of the Demand study. </w:t>
      </w:r>
    </w:p>
  </w:footnote>
  <w:footnote w:id="25">
    <w:p w:rsidR="00F752F4" w:rsidRDefault="00F752F4">
      <w:pPr>
        <w:pStyle w:val="FootnoteText"/>
      </w:pPr>
      <w:r>
        <w:rPr>
          <w:rStyle w:val="FootnoteReference"/>
        </w:rPr>
        <w:footnoteRef/>
      </w:r>
      <w:r>
        <w:t xml:space="preserve"> PwC has applied the Cost Reckoner based on information provided by EY in relation to its development and application of the Reckoner for its own analysis. PwC has not verified or otherwise the appropriateness of the Reckoner for use in this case; rather PwC relies on DEDJTR in assuming that the Reckoner has been correctly developed, tested and validated and that its use in this context is appropriate.</w:t>
      </w:r>
    </w:p>
  </w:footnote>
  <w:footnote w:id="26">
    <w:p w:rsidR="00F752F4" w:rsidRDefault="00F752F4">
      <w:pPr>
        <w:pStyle w:val="FootnoteText"/>
      </w:pPr>
      <w:r>
        <w:rPr>
          <w:rStyle w:val="FootnoteReference"/>
        </w:rPr>
        <w:footnoteRef/>
      </w:r>
      <w:r>
        <w:t xml:space="preserve"> PwC, </w:t>
      </w:r>
      <w:r w:rsidRPr="006916CE">
        <w:rPr>
          <w:i/>
        </w:rPr>
        <w:t>Sydney construction mate</w:t>
      </w:r>
      <w:r w:rsidRPr="00417D11">
        <w:rPr>
          <w:i/>
        </w:rPr>
        <w:t>rials supply chain investigatio</w:t>
      </w:r>
      <w:r>
        <w:rPr>
          <w:i/>
        </w:rPr>
        <w:t>n:</w:t>
      </w:r>
      <w:r w:rsidRPr="006916CE">
        <w:rPr>
          <w:i/>
        </w:rPr>
        <w:t xml:space="preserve"> Phase 1 and 2</w:t>
      </w:r>
      <w:r>
        <w:t xml:space="preserve">, 2016. </w:t>
      </w:r>
    </w:p>
  </w:footnote>
  <w:footnote w:id="27">
    <w:p w:rsidR="00F752F4" w:rsidRDefault="00F752F4">
      <w:pPr>
        <w:pStyle w:val="FootnoteText"/>
      </w:pPr>
      <w:r>
        <w:rPr>
          <w:rStyle w:val="FootnoteReference"/>
        </w:rPr>
        <w:footnoteRef/>
      </w:r>
      <w:r>
        <w:t xml:space="preserve"> Excludes the costs associated with transporting these materials and any associated labour costs. </w:t>
      </w:r>
    </w:p>
  </w:footnote>
  <w:footnote w:id="28">
    <w:p w:rsidR="00F752F4" w:rsidRDefault="00F752F4">
      <w:pPr>
        <w:pStyle w:val="FootnoteText"/>
      </w:pPr>
      <w:r>
        <w:rPr>
          <w:rStyle w:val="FootnoteReference"/>
        </w:rPr>
        <w:footnoteRef/>
      </w:r>
      <w:r>
        <w:t xml:space="preserve"> This transport cost figure represents the additional cost to industry and associated social and environmental (or ‘externality’) costs to society.</w:t>
      </w:r>
    </w:p>
  </w:footnote>
  <w:footnote w:id="29">
    <w:p w:rsidR="00F752F4" w:rsidRDefault="00F752F4">
      <w:pPr>
        <w:pStyle w:val="FootnoteText"/>
      </w:pPr>
      <w:r>
        <w:rPr>
          <w:rStyle w:val="FootnoteReference"/>
        </w:rPr>
        <w:footnoteRef/>
      </w:r>
      <w:r>
        <w:t xml:space="preserve"> </w:t>
      </w:r>
      <w:r w:rsidRPr="00557062">
        <w:t>EY, Demand analysis of extractive resources in Victoria, 2016</w:t>
      </w:r>
    </w:p>
  </w:footnote>
  <w:footnote w:id="30">
    <w:p w:rsidR="00F752F4" w:rsidRDefault="00F752F4">
      <w:pPr>
        <w:pStyle w:val="FootnoteText"/>
      </w:pPr>
      <w:r>
        <w:rPr>
          <w:rStyle w:val="FootnoteReference"/>
        </w:rPr>
        <w:footnoteRef/>
      </w:r>
      <w:r>
        <w:t xml:space="preserve"> On average, across the 2015-2050 analysis period.</w:t>
      </w:r>
    </w:p>
  </w:footnote>
  <w:footnote w:id="31">
    <w:p w:rsidR="00F752F4" w:rsidRDefault="00F752F4">
      <w:pPr>
        <w:pStyle w:val="FootnoteText"/>
      </w:pPr>
      <w:r>
        <w:rPr>
          <w:rStyle w:val="FootnoteReference"/>
        </w:rPr>
        <w:footnoteRef/>
      </w:r>
      <w:r>
        <w:t xml:space="preserve"> Available from </w:t>
      </w:r>
      <w:r>
        <w:t>data.vic</w:t>
      </w:r>
    </w:p>
  </w:footnote>
  <w:footnote w:id="32">
    <w:p w:rsidR="00F752F4" w:rsidRDefault="00F752F4">
      <w:pPr>
        <w:pStyle w:val="FootnoteText"/>
      </w:pPr>
      <w:r>
        <w:rPr>
          <w:rStyle w:val="FootnoteReference"/>
        </w:rPr>
        <w:footnoteRef/>
      </w:r>
      <w:r>
        <w:t xml:space="preserve"> ABS, </w:t>
      </w:r>
      <w:r w:rsidRPr="00581332">
        <w:t xml:space="preserve">1270.0.55.004 - Australian Statistical Geography Standard (ASGS): Volume 4 - Significant Urban Areas, Urban Centres and Localities, Section of State, July 2011  </w:t>
      </w:r>
    </w:p>
  </w:footnote>
  <w:footnote w:id="33">
    <w:p w:rsidR="00F752F4" w:rsidRDefault="00F752F4">
      <w:pPr>
        <w:pStyle w:val="FootnoteText"/>
      </w:pPr>
      <w:r>
        <w:rPr>
          <w:rStyle w:val="FootnoteReference"/>
        </w:rPr>
        <w:footnoteRef/>
      </w:r>
      <w:r>
        <w:t xml:space="preserve"> </w:t>
      </w:r>
      <w:r w:rsidRPr="00DE6FC4">
        <w:t>As the weights have been calculated taking into account each WA’s current and/or historical production levels, the level of demand attributed to each WA for each year does not exceed its known capacity to produce by a great degree.</w:t>
      </w:r>
    </w:p>
  </w:footnote>
  <w:footnote w:id="34">
    <w:p w:rsidR="00F752F4" w:rsidRDefault="00F752F4" w:rsidP="003C30D0">
      <w:pPr>
        <w:pStyle w:val="FootnoteText"/>
      </w:pPr>
      <w:r>
        <w:rPr>
          <w:rStyle w:val="FootnoteReference"/>
        </w:rPr>
        <w:footnoteRef/>
      </w:r>
      <w:r>
        <w:t xml:space="preserve"> A high supply scenario was considered in early stages of the analysis but not implemented as part of the final suite of modelling. As a high supply outcome was unlikely against any demand setting other than high demand, and a matching of high supply to high demand would not reveal significantly different results to those seen under the base case, this scenario was abandoned.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8F0566" w:rsidRDefault="00F752F4" w:rsidP="008F0566">
    <w:pPr>
      <w:pStyle w:val="Header"/>
    </w:pPr>
    <w:r>
      <w:rPr>
        <w:noProof/>
        <w:snapToGrid/>
        <w:lang w:eastAsia="en-AU"/>
      </w:rPr>
      <mc:AlternateContent>
        <mc:Choice Requires="wpg">
          <w:drawing>
            <wp:anchor distT="0" distB="0" distL="114300" distR="114300" simplePos="0" relativeHeight="251657728" behindDoc="0" locked="0" layoutInCell="1" allowOverlap="1" wp14:anchorId="529470ED" wp14:editId="23BD0E9D">
              <wp:simplePos x="0" y="0"/>
              <wp:positionH relativeFrom="page">
                <wp:posOffset>0</wp:posOffset>
              </wp:positionH>
              <wp:positionV relativeFrom="page">
                <wp:posOffset>0</wp:posOffset>
              </wp:positionV>
              <wp:extent cx="6912610" cy="10692130"/>
              <wp:effectExtent l="9525" t="9525" r="12065" b="13970"/>
              <wp:wrapNone/>
              <wp:docPr id="71" name="Even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72" name="Group 2851"/>
                      <wpg:cNvGrpSpPr>
                        <a:grpSpLocks/>
                      </wpg:cNvGrpSpPr>
                      <wpg:grpSpPr bwMode="auto">
                        <a:xfrm>
                          <a:off x="1021" y="567"/>
                          <a:ext cx="9251" cy="15704"/>
                          <a:chOff x="1021" y="567"/>
                          <a:chExt cx="9251" cy="15704"/>
                        </a:xfrm>
                      </wpg:grpSpPr>
                      <wps:wsp>
                        <wps:cNvPr id="73" name="AutoShape 2852"/>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4" name="AutoShape 2853"/>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5" name="AutoShape 2854"/>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6" name="AutoShape 2855"/>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7" name="AutoShape 2856"/>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8" name="AutoShape 2857"/>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9" name="AutoShape 2858"/>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0" name="AutoShape 2859"/>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1" name="AutoShape 2860"/>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2" name="AutoShape 2861"/>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3" name="AutoShape 2862"/>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4" name="AutoShape 2863"/>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85" name="AutoShape 2864"/>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86" name="AutoShape 2865"/>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87" name="Group 2866"/>
                      <wpg:cNvGrpSpPr>
                        <a:grpSpLocks/>
                      </wpg:cNvGrpSpPr>
                      <wpg:grpSpPr bwMode="auto">
                        <a:xfrm>
                          <a:off x="1021" y="567"/>
                          <a:ext cx="9865" cy="15706"/>
                          <a:chOff x="907" y="567"/>
                          <a:chExt cx="9865" cy="15706"/>
                        </a:xfrm>
                      </wpg:grpSpPr>
                      <wps:wsp>
                        <wps:cNvPr id="88" name="AutoShape 2867"/>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9" name="AutoShape 2868"/>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0" name="AutoShape 2869"/>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91" name="AutoShape 2870"/>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2" name="AutoShape 2871"/>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3" name="AutoShape 2872"/>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4" name="AutoShape 2873"/>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5" name="AutoShape 2874"/>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6" name="AutoShape 2875"/>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7" name="AutoShape 2876"/>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8" name="AutoShape 2877"/>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9" name="AutoShape 2878"/>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0" name="AutoShape 2879"/>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1" name="AutoShape 2880"/>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2" name="AutoShape 2881"/>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3" name="AutoShape 2882"/>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4" name="AutoShape 2883"/>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5" name="AutoShape 2884"/>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6" name="AutoShape 2885"/>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107" name="Group 2886"/>
                      <wpg:cNvGrpSpPr>
                        <a:grpSpLocks/>
                      </wpg:cNvGrpSpPr>
                      <wpg:grpSpPr bwMode="auto">
                        <a:xfrm>
                          <a:off x="1633" y="567"/>
                          <a:ext cx="9251" cy="15704"/>
                          <a:chOff x="1635" y="567"/>
                          <a:chExt cx="9251" cy="15704"/>
                        </a:xfrm>
                      </wpg:grpSpPr>
                      <wps:wsp>
                        <wps:cNvPr id="108" name="AutoShape 2887"/>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9" name="AutoShape 2888"/>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0" name="AutoShape 2889"/>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1" name="AutoShape 2890"/>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2" name="AutoShape 2891"/>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3" name="AutoShape 2892"/>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4" name="AutoShape 2893"/>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5" name="AutoShape 2894"/>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6" name="AutoShape 2895"/>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7" name="AutoShape 2896"/>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8" name="AutoShape 2897"/>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9" name="AutoShape 2898"/>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E54210" id="EvenGrid" o:spid="_x0000_s1026" alt="Grid" style="position:absolute;margin-left:0;margin-top:0;width:544.3pt;height:841.9pt;z-index:251657728;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">
              <v:group id="Group 2851"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32" coordsize="21600,21600" o:spt="32" o:oned="t" path="m,l21600,21600e" filled="f">
                  <v:path arrowok="t" fillok="f" o:connecttype="none"/>
                  <o:lock v:ext="edit" shapetype="t"/>
                </v:shapetype>
                <v:shape id="AutoShape 2852"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" strokecolor="#002060"/>
                <v:shape id="AutoShape 2853"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P3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CHj1P3xQAAANsAAAAP&#10;AAAAAAAAAAAAAAAAAAcCAABkcnMvZG93bnJldi54bWxQSwUGAAAAAAMAAwC3AAAA+QIAAAAA&#10;" strokecolor="#00b0f0"/>
                <v:shape id="AutoShape 2854"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sxQAAANsAAAAPAAAAZHJzL2Rvd25yZXYueG1sRI9Ba8JA&#10;FITvgv9heUJvdROh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Dow/ZsxQAAANsAAAAP&#10;AAAAAAAAAAAAAAAAAAcCAABkcnMvZG93bnJldi54bWxQSwUGAAAAAAMAAwC3AAAA+QIAAAAA&#10;" strokecolor="#00b0f0"/>
                <v:shape id="AutoShape 2855"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" strokecolor="#002060"/>
                <v:shape id="AutoShape 2856"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" strokecolor="#00b0f0"/>
                <v:shape id="AutoShape 2857"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" strokecolor="#00b0f0"/>
                <v:shape id="AutoShape 2858"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" strokecolor="#002060"/>
                <v:shape id="AutoShape 2859"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" strokecolor="#00b0f0"/>
                <v:shape id="AutoShape 2860"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" strokecolor="#00b0f0"/>
                <v:shape id="AutoShape 2861"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" strokecolor="#002060"/>
                <v:shape id="AutoShape 2862"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ukxAAAANsAAAAPAAAAZHJzL2Rvd25yZXYueG1sRI9Ba8JA&#10;FITvQv/D8gredBMF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D2zu6TEAAAA2wAAAA8A&#10;AAAAAAAAAAAAAAAABwIAAGRycy9kb3ducmV2LnhtbFBLBQYAAAAAAwADALcAAAD4AgAAAAA=&#10;" strokecolor="#00b0f0"/>
                <v:shape id="AutoShape 2863"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PQxAAAANsAAAAPAAAAZHJzL2Rvd25yZXYueG1sRI9Ba8JA&#10;FITvQv/D8gredBMR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LJaI9DEAAAA2wAAAA8A&#10;AAAAAAAAAAAAAAAABwIAAGRycy9kb3ducmV2LnhtbFBLBQYAAAAAAwADALcAAAD4AgAAAAA=&#10;" strokecolor="#00b0f0"/>
              </v:group>
              <v:shape id="AutoShape 2864"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" strokecolor="#f6f"/>
              <v:shape id="AutoShape 2865"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" strokecolor="#f6f"/>
              <v:group id="Group 2866"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utoShape 2867"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" strokecolor="#002060"/>
                <v:shape id="AutoShape 2868"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" strokecolor="#00b0f0"/>
                <v:shape id="AutoShape 2869"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" strokecolor="#002060"/>
                <v:shape id="AutoShape 2870"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" strokecolor="#00b0f0"/>
                <v:shape id="AutoShape 2871"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" strokecolor="#00b0f0"/>
                <v:shape id="AutoShape 2872"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15xQAAANsAAAAPAAAAZHJzL2Rvd25yZXYueG1sRI9Ba8JA&#10;FITvgv9heUJvdRML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C4ai15xQAAANsAAAAP&#10;AAAAAAAAAAAAAAAAAAcCAABkcnMvZG93bnJldi54bWxQSwUGAAAAAAMAAwC3AAAA+QIAAAAA&#10;" strokecolor="#00b0f0"/>
                <v:shape id="AutoShape 2873"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UNxQAAANsAAAAPAAAAZHJzL2Rvd25yZXYueG1sRI9Ba8JA&#10;FITvgv9heUJvdRMp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A3g7UNxQAAANsAAAAP&#10;AAAAAAAAAAAAAAAAAAcCAABkcnMvZG93bnJldi54bWxQSwUGAAAAAAMAAwC3AAAA+QIAAAAA&#10;" strokecolor="#00b0f0"/>
                <v:shape id="AutoShape 2874"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CWxQAAANsAAAAPAAAAZHJzL2Rvd25yZXYueG1sRI9Ba8JA&#10;FITvgv9heUJvdROh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BYzxCWxQAAANsAAAAP&#10;AAAAAAAAAAAAAAAAAAcCAABkcnMvZG93bnJldi54bWxQSwUGAAAAAAMAAwC3AAAA+QIAAAAA&#10;" strokecolor="#00b0f0"/>
                <v:shape id="AutoShape 2875"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" strokecolor="#00b0f0"/>
                <v:shape id="AutoShape 2876"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" strokecolor="#00b0f0"/>
                <v:shape id="AutoShape 2877"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" strokecolor="#00b0f0"/>
                <v:shape id="AutoShape 2878"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" strokecolor="#00b0f0"/>
                <v:shape id="AutoShape 2879"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" strokecolor="#00b0f0"/>
                <v:shape id="AutoShape 2880"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" strokecolor="#00b0f0"/>
                <v:shape id="AutoShape 2881"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" strokecolor="#00b0f0"/>
                <v:shape id="AutoShape 2882"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W+wwAAANwAAAAPAAAAZHJzL2Rvd25yZXYueG1sRE9LawIx&#10;EL4L/Q9hCt40uy2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by71vsMAAADcAAAADwAA&#10;AAAAAAAAAAAAAAAHAgAAZHJzL2Rvd25yZXYueG1sUEsFBgAAAAADAAMAtwAAAPcCAAAAAA==&#10;" strokecolor="#00b0f0"/>
                <v:shape id="AutoShape 2883"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3KwwAAANwAAAAPAAAAZHJzL2Rvd25yZXYueG1sRE9LawIx&#10;EL4L/Q9hCt40u6W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4MdtysMAAADcAAAADwAA&#10;AAAAAAAAAAAAAAAHAgAAZHJzL2Rvd25yZXYueG1sUEsFBgAAAAADAAMAtwAAAPcCAAAAAA==&#10;" strokecolor="#00b0f0"/>
                <v:shape id="AutoShape 2884"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hRwwAAANwAAAAPAAAAZHJzL2Rvd25yZXYueG1sRE9LawIx&#10;EL4L/Q9hCt40u4WK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j4vIUcMAAADcAAAADwAA&#10;AAAAAAAAAAAAAAAHAgAAZHJzL2Rvd25yZXYueG1sUEsFBgAAAAADAAMAtwAAAPcCAAAAAA==&#10;" strokecolor="#00b0f0"/>
                <v:shape id="AutoShape 2885"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" strokecolor="#00b0f0"/>
              </v:group>
              <v:group id="Group 2886"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utoShape 2887"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" strokecolor="#00b0f0"/>
                <v:shape id="AutoShape 2888"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" strokecolor="#00b0f0"/>
                <v:shape id="AutoShape 2889"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" strokecolor="#002060"/>
                <v:shape id="AutoShape 2890"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" strokecolor="#00b0f0"/>
                <v:shape id="AutoShape 2891"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" strokecolor="#00b0f0"/>
                <v:shape id="AutoShape 2892"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" strokecolor="#002060"/>
                <v:shape id="AutoShape 2893"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sXwwAAANwAAAAPAAAAZHJzL2Rvd25yZXYueG1sRE9LawIx&#10;EL4L/Q9hCt40u6WI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ZR77F8MAAADcAAAADwAA&#10;AAAAAAAAAAAAAAAHAgAAZHJzL2Rvd25yZXYueG1sUEsFBgAAAAADAAMAtwAAAPcCAAAAAA==&#10;" strokecolor="#00b0f0"/>
                <v:shape id="AutoShape 2894"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6MwwAAANwAAAAPAAAAZHJzL2Rvd25yZXYueG1sRE9LawIx&#10;EL4L/Q9hCt40u4WK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ClJejMMAAADcAAAADwAA&#10;AAAAAAAAAAAAAAAHAgAAZHJzL2Rvd25yZXYueG1sUEsFBgAAAAADAAMAtwAAAPcCAAAAAA==&#10;" strokecolor="#00b0f0"/>
                <v:shape id="AutoShape 2895"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" strokecolor="#002060"/>
                <v:shape id="AutoShape 2896"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" strokecolor="#00b0f0"/>
                <v:shape id="AutoShape 2897"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" strokecolor="#00b0f0"/>
                <v:shape id="AutoShape 2898"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" strokecolor="#002060"/>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1A48C1" w:rsidRDefault="00F752F4" w:rsidP="001A48C1">
    <w:pPr>
      <w:pStyle w:val="Header-Even"/>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7765AB">
      <w:rPr>
        <w:noProof/>
        <w:snapToGrid/>
        <w:lang w:eastAsia="en-AU"/>
      </w:rPr>
      <w:t>Transport cost analysis</w:t>
    </w:r>
    <w:r>
      <w:rPr>
        <w:noProof/>
        <w:snapToGrid/>
        <w:lang w:eastAsia="en-AU"/>
      </w:rPr>
      <w:fldChar w:fldCharType="end"/>
    </w:r>
    <w:r w:rsidRPr="00D761BF">
      <w:rPr>
        <w:sz w:val="28"/>
      </w:rPr>
      <w:t xml:space="preserve"> </w:t>
    </w:r>
    <w:r>
      <w:rPr>
        <w:sz w:val="28"/>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7972FB" w:rsidRDefault="00F752F4" w:rsidP="001A48C1">
    <w:pPr>
      <w:pStyle w:val="Header"/>
    </w:pPr>
    <w:r w:rsidRPr="007972FB">
      <w:rPr>
        <w:noProof/>
        <w:snapToGrid/>
        <w:lang w:eastAsia="en-AU"/>
      </w:rPr>
      <w:fldChar w:fldCharType="begin"/>
    </w:r>
    <w:r w:rsidRPr="007331EA">
      <w:rPr>
        <w:noProof/>
        <w:snapToGrid/>
        <w:lang w:eastAsia="en-AU"/>
      </w:rPr>
      <w:instrText xml:space="preserve"> STYLEREF "Heading 2" </w:instrText>
    </w:r>
    <w:r w:rsidRPr="007972FB">
      <w:rPr>
        <w:noProof/>
        <w:snapToGrid/>
        <w:lang w:eastAsia="en-AU"/>
      </w:rPr>
      <w:fldChar w:fldCharType="separate"/>
    </w:r>
    <w:r w:rsidR="007765AB">
      <w:rPr>
        <w:noProof/>
        <w:snapToGrid/>
        <w:lang w:eastAsia="en-AU"/>
      </w:rPr>
      <w:t>Conclusions</w:t>
    </w:r>
    <w:r w:rsidRPr="007972FB">
      <w:rPr>
        <w:noProof/>
        <w:snapToGrid/>
        <w:lang w:eastAsia="en-AU"/>
      </w:rPr>
      <w:fldChar w:fldCharType="end"/>
    </w:r>
    <w:r w:rsidRPr="007972FB">
      <w:rPr>
        <w:noProof/>
        <w:snapToGrid/>
        <w:lang w:eastAsia="en-AU"/>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89081A">
    <w:pPr>
      <w:pStyle w:val="Header-FirstPage"/>
      <w:jc w:val="right"/>
    </w:pPr>
  </w:p>
  <w:p w:rsidR="00F752F4" w:rsidRPr="00460052" w:rsidRDefault="00F752F4" w:rsidP="00460052">
    <w:pPr>
      <w:pStyle w:val="FirstPagePanelFrame"/>
      <w:framePr w:wrap="notBesid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9B05E3" w:rsidRDefault="007765AB" w:rsidP="00574287">
    <w:pPr>
      <w:pStyle w:val="Header-Even"/>
    </w:pPr>
    <w:fldSimple w:instr=" STYLEREF &quot;Heading 4&quot; ">
      <w:r w:rsidR="00F752F4">
        <w:rPr>
          <w:noProof/>
        </w:rPr>
        <w:t>Response confidentiality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9B05E3" w:rsidRDefault="007765AB" w:rsidP="009B05E3">
    <w:pPr>
      <w:pStyle w:val="Header"/>
    </w:pPr>
    <w:fldSimple w:instr=" STYLEREF &quot;Heading 4&quot; ">
      <w:r w:rsidR="00F752F4">
        <w:rPr>
          <w:noProof/>
        </w:rPr>
        <w:t>Response confidentiality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843CFC">
    <w:pPr>
      <w:pStyle w:val="Header-FirstPage"/>
      <w:jc w:val="right"/>
    </w:pPr>
  </w:p>
  <w:p w:rsidR="00F752F4" w:rsidRPr="007E5215" w:rsidRDefault="00F752F4" w:rsidP="007E5215">
    <w:pPr>
      <w:pStyle w:val="FirstPagePanelFrame-Contents"/>
      <w:framePr w:wrap="notBesid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843CFC">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843CFC">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9D2E45" w:rsidRDefault="00F752F4" w:rsidP="00843CFC">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B4BF3" w:rsidRDefault="00F752F4" w:rsidP="005B4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8F0566" w:rsidRDefault="00F752F4" w:rsidP="008F0566">
    <w:pPr>
      <w:pStyle w:val="Header"/>
    </w:pPr>
    <w:r>
      <w:rPr>
        <w:noProof/>
        <w:snapToGrid/>
        <w:lang w:eastAsia="en-AU"/>
      </w:rPr>
      <mc:AlternateContent>
        <mc:Choice Requires="wpg">
          <w:drawing>
            <wp:anchor distT="0" distB="0" distL="114300" distR="114300" simplePos="0" relativeHeight="251656704" behindDoc="0" locked="0" layoutInCell="1" allowOverlap="1" wp14:anchorId="1640D31E" wp14:editId="4FEFD208">
              <wp:simplePos x="0" y="0"/>
              <wp:positionH relativeFrom="page">
                <wp:posOffset>0</wp:posOffset>
              </wp:positionH>
              <wp:positionV relativeFrom="page">
                <wp:posOffset>0</wp:posOffset>
              </wp:positionV>
              <wp:extent cx="6912610" cy="10692130"/>
              <wp:effectExtent l="9525" t="9525" r="12065" b="13970"/>
              <wp:wrapNone/>
              <wp:docPr id="17" name="Odd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18" name="Group 2018"/>
                      <wpg:cNvGrpSpPr>
                        <a:grpSpLocks/>
                      </wpg:cNvGrpSpPr>
                      <wpg:grpSpPr bwMode="auto">
                        <a:xfrm>
                          <a:off x="1021" y="567"/>
                          <a:ext cx="9251" cy="15704"/>
                          <a:chOff x="1021" y="567"/>
                          <a:chExt cx="9251" cy="15704"/>
                        </a:xfrm>
                      </wpg:grpSpPr>
                      <wps:wsp>
                        <wps:cNvPr id="21" name="AutoShape 2019"/>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2" name="AutoShape 2020"/>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2021"/>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4" name="AutoShape 2022"/>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5" name="AutoShape 2023"/>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6" name="AutoShape 2024"/>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7" name="AutoShape 2025"/>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 name="AutoShape 2026"/>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2027"/>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 name="AutoShape 2028"/>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1" name="AutoShape 2029"/>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 name="AutoShape 2030"/>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33" name="AutoShape 2031"/>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34" name="AutoShape 2032"/>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35" name="Group 2033"/>
                      <wpg:cNvGrpSpPr>
                        <a:grpSpLocks/>
                      </wpg:cNvGrpSpPr>
                      <wpg:grpSpPr bwMode="auto">
                        <a:xfrm>
                          <a:off x="1021" y="567"/>
                          <a:ext cx="9865" cy="15706"/>
                          <a:chOff x="907" y="567"/>
                          <a:chExt cx="9865" cy="15706"/>
                        </a:xfrm>
                      </wpg:grpSpPr>
                      <wps:wsp>
                        <wps:cNvPr id="36" name="AutoShape 2034"/>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 name="AutoShape 2035"/>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8" name="AutoShape 2036"/>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9" name="AutoShape 2037"/>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2038"/>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1" name="AutoShape 2039"/>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2" name="AutoShape 2040"/>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3" name="AutoShape 2041"/>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4" name="AutoShape 2042"/>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5" name="AutoShape 2043"/>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6" name="AutoShape 2044"/>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7" name="AutoShape 2045"/>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8" name="AutoShape 2046"/>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9" name="AutoShape 2047"/>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0" name="AutoShape 2048"/>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1" name="AutoShape 2049"/>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2" name="AutoShape 2050"/>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3" name="AutoShape 2051"/>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4" name="AutoShape 2052"/>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58" name="Group 2053"/>
                      <wpg:cNvGrpSpPr>
                        <a:grpSpLocks/>
                      </wpg:cNvGrpSpPr>
                      <wpg:grpSpPr bwMode="auto">
                        <a:xfrm>
                          <a:off x="1633" y="567"/>
                          <a:ext cx="9251" cy="15704"/>
                          <a:chOff x="1635" y="567"/>
                          <a:chExt cx="9251" cy="15704"/>
                        </a:xfrm>
                      </wpg:grpSpPr>
                      <wps:wsp>
                        <wps:cNvPr id="59" name="AutoShape 2054"/>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2055"/>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1" name="AutoShape 2056"/>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2" name="AutoShape 2057"/>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3" name="AutoShape 2058"/>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4" name="AutoShape 2059"/>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5" name="AutoShape 2060"/>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6" name="AutoShape 2061"/>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7" name="AutoShape 2062"/>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8" name="AutoShape 2063"/>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9" name="AutoShape 2064"/>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0" name="AutoShape 2065"/>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D9BA5F6" id="OddGrid" o:spid="_x0000_s1026" alt="Grid" style="position:absolute;margin-left:0;margin-top:0;width:544.3pt;height:841.9pt;z-index:251656704;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">
              <v:group id="Group 2018"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AutoShape 2019"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" strokecolor="#002060"/>
                <v:shape id="AutoShape 2020"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" strokecolor="#00b0f0"/>
                <v:shape id="AutoShape 2021"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SexAAAANsAAAAPAAAAZHJzL2Rvd25yZXYueG1sRI9Ba8JA&#10;FITvgv9heYI33URB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BvV5J7EAAAA2wAAAA8A&#10;AAAAAAAAAAAAAAAABwIAAGRycy9kb3ducmV2LnhtbFBLBQYAAAAAAwADALcAAAD4AgAAAAA=&#10;" strokecolor="#00b0f0"/>
                <v:shape id="AutoShape 2022"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" strokecolor="#002060"/>
                <v:shape id="AutoShape 2023"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lxxAAAANsAAAAPAAAAZHJzL2Rvd25yZXYueG1sRI9Ba8JA&#10;FITvgv9heYI33URQ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Ptw2XHEAAAA2wAAAA8A&#10;AAAAAAAAAAAAAAAABwIAAGRycy9kb3ducmV2LnhtbFBLBQYAAAAAAwADALcAAAD4AgAAAAA=&#10;" strokecolor="#00b0f0"/>
                <v:shape id="AutoShape 2024"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" strokecolor="#00b0f0"/>
                <v:shape id="AutoShape 2025"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" strokecolor="#002060"/>
                <v:shape id="AutoShape 2026"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" strokecolor="#00b0f0"/>
                <v:shape id="AutoShape 2027"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" strokecolor="#00b0f0"/>
                <v:shape id="AutoShape 2028"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" strokecolor="#002060"/>
                <v:shape id="AutoShape 2029"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mvxQAAANsAAAAPAAAAZHJzL2Rvd25yZXYueG1sRI9PawIx&#10;FMTvQr9DeAVvmt0W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ABkkmvxQAAANsAAAAP&#10;AAAAAAAAAAAAAAAAAAcCAABkcnMvZG93bnJldi54bWxQSwUGAAAAAAMAAwC3AAAA+QIAAAAA&#10;" strokecolor="#00b0f0"/>
                <v:shape id="AutoShape 2030"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fYxAAAANsAAAAPAAAAZHJzL2Rvd25yZXYueG1sRI9Ba8JA&#10;FITvgv9heYI33URB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PFA19jEAAAA2wAAAA8A&#10;AAAAAAAAAAAAAAAABwIAAGRycy9kb3ducmV2LnhtbFBLBQYAAAAAAwADALcAAAD4AgAAAAA=&#10;" strokecolor="#00b0f0"/>
              </v:group>
              <v:shape id="AutoShape 2031"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" strokecolor="#f6f"/>
              <v:shape id="AutoShape 2032"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" strokecolor="#f6f"/>
              <v:group id="Group 2033"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2034"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" strokecolor="#002060"/>
                <v:shape id="AutoShape 2035"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RAxQAAANsAAAAPAAAAZHJzL2Rvd25yZXYueG1sRI9Ba8JA&#10;FITvgv9heUJvdRML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DhN3RAxQAAANsAAAAP&#10;AAAAAAAAAAAAAAAAAAcCAABkcnMvZG93bnJldi54bWxQSwUGAAAAAAMAAwC3AAAA+QIAAAAA&#10;" strokecolor="#00b0f0"/>
                <v:shape id="AutoShape 2036"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" strokecolor="#002060"/>
                <v:shape id="AutoShape 2037"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pxQAAANsAAAAPAAAAZHJzL2Rvd25yZXYueG1sRI9Ba8JA&#10;FITvgv9heUJvdRML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D/5EWpxQAAANsAAAAP&#10;AAAAAAAAAAAAAAAAAAcCAABkcnMvZG93bnJldi54bWxQSwUGAAAAAAMAAwC3AAAA+QIAAAAA&#10;" strokecolor="#00b0f0"/>
                <v:shape id="AutoShape 2038"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9JwQAAANsAAAAPAAAAZHJzL2Rvd25yZXYueG1sRE/Pa8Iw&#10;FL4P/B/CE7zNtC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DbYn0nBAAAA2wAAAA8AAAAA&#10;AAAAAAAAAAAABwIAAGRycy9kb3ducmV2LnhtbFBLBQYAAAAAAwADALcAAAD1AgAAAAA=&#10;" strokecolor="#00b0f0"/>
                <v:shape id="AutoShape 2039"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SxQAAANsAAAAPAAAAZHJzL2Rvd25yZXYueG1sRI9PawIx&#10;FMTvQr9DeAVvmt1S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BZlDrSxQAAANsAAAAP&#10;AAAAAAAAAAAAAAAAAAcCAABkcnMvZG93bnJldi54bWxQSwUGAAAAAAMAAwC3AAAA+QIAAAAA&#10;" strokecolor="#00b0f0"/>
                <v:shape id="AutoShape 2040"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SlxAAAANsAAAAPAAAAZHJzL2Rvd25yZXYueG1sRI9Ba8JA&#10;FITvgv9heYI33URE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KlGpKXEAAAA2wAAAA8A&#10;AAAAAAAAAAAAAAAABwIAAGRycy9kb3ducmV2LnhtbFBLBQYAAAAAAwADALcAAAD4AgAAAAA=&#10;" strokecolor="#00b0f0"/>
                <v:shape id="AutoShape 2041"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E+xQAAANsAAAAPAAAAZHJzL2Rvd25yZXYueG1sRI9Ba8JA&#10;FITvgv9heUJvdRNbiq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GCgE+xQAAANsAAAAP&#10;AAAAAAAAAAAAAAAAAAcCAABkcnMvZG93bnJldi54bWxQSwUGAAAAAAMAAwC3AAAA+QIAAAAA&#10;" strokecolor="#00b0f0"/>
                <v:shape id="AutoShape 2042"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" strokecolor="#00b0f0"/>
                <v:shape id="AutoShape 2043"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R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" strokecolor="#00b0f0"/>
                <v:shape id="AutoShape 2044"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" strokecolor="#00b0f0"/>
                <v:shape id="AutoShape 2045"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c9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C5MQc9xQAAANsAAAAP&#10;AAAAAAAAAAAAAAAAAAcCAABkcnMvZG93bnJldi54bWxQSwUGAAAAAAMAAwC3AAAA+QIAAAAA&#10;" strokecolor="#00b0f0"/>
                <v:shape id="AutoShape 2046"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" strokecolor="#00b0f0"/>
                <v:shape id="AutoShape 2047"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bUxQAAANsAAAAPAAAAZHJzL2Rvd25yZXYueG1sRI9Ba8JA&#10;FITvgv9heUJvdRMp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Cn4jbUxQAAANsAAAAP&#10;AAAAAAAAAAAAAAAAAAcCAABkcnMvZG93bnJldi54bWxQSwUGAAAAAAMAAwC3AAAA+QIAAAAA&#10;" strokecolor="#00b0f0"/>
                <v:shape id="AutoShape 2048"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mUwQAAANsAAAAPAAAAZHJzL2Rvd25yZXYueG1sRE/Pa8Iw&#10;FL4P/B/CE7zNtI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LMBCZTBAAAA2wAAAA8AAAAA&#10;AAAAAAAAAAAABwIAAGRycy9kb3ducmV2LnhtbFBLBQYAAAAAAwADALcAAAD1AgAAAAA=&#10;" strokecolor="#00b0f0"/>
                <v:shape id="AutoShape 2049"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wPxQAAANsAAAAPAAAAZHJzL2Rvd25yZXYueG1sRI9PawIx&#10;FMTvQr9DeAVvmt1CRb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DcTawPxQAAANsAAAAP&#10;AAAAAAAAAAAAAAAAAAcCAABkcnMvZG93bnJldi54bWxQSwUGAAAAAAMAAwC3AAAA+QIAAAAA&#10;" strokecolor="#00b0f0"/>
                <v:shape id="AutoShape 2050"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J4xAAAANsAAAAPAAAAZHJzL2Rvd25yZXYueG1sRI9Ba8JA&#10;FITvgv9heYI33URQ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CyfMnjEAAAA2wAAAA8A&#10;AAAAAAAAAAAAAAAABwIAAGRycy9kb3ducmV2LnhtbFBLBQYAAAAAAwADALcAAAD4AgAAAAA=&#10;" strokecolor="#00b0f0"/>
                <v:shape id="AutoShape 2051"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fjxQAAANsAAAAPAAAAZHJzL2Rvd25yZXYueG1sRI9Ba8JA&#10;FITvgv9heUJvdRNL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BD05fjxQAAANsAAAAP&#10;AAAAAAAAAAAAAAAAAAcCAABkcnMvZG93bnJldi54bWxQSwUGAAAAAAMAAwC3AAAA+QIAAAAA&#10;" strokecolor="#00b0f0"/>
                <v:shape id="AutoShape 2052"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X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MOg+XxQAAANsAAAAP&#10;AAAAAAAAAAAAAAAAAAcCAABkcnMvZG93bnJldi54bWxQSwUGAAAAAAMAAwC3AAAA+QIAAAAA&#10;" strokecolor="#00b0f0"/>
              </v:group>
              <v:group id="Group 2053"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2054"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AJxQAAANsAAAAPAAAAZHJzL2Rvd25yZXYueG1sRI9Ba8JA&#10;FITvgv9heUJvdROh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AiO6AJxQAAANsAAAAP&#10;AAAAAAAAAAAAAAAAAAcCAABkcnMvZG93bnJldi54bWxQSwUGAAAAAAMAAwC3AAAA+QIAAAAA&#10;" strokecolor="#00b0f0"/>
                <v:shape id="AutoShape 2055"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" strokecolor="#00b0f0"/>
                <v:shape id="AutoShape 2056"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" strokecolor="#002060"/>
                <v:shape id="AutoShape 2057"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" strokecolor="#00b0f0"/>
                <v:shape id="AutoShape 2058"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1exQAAANsAAAAPAAAAZHJzL2Rvd25yZXYueG1sRI9PawIx&#10;FMTvQr9DeIXeNLsWRL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CNv11exQAAANsAAAAP&#10;AAAAAAAAAAAAAAAAAAcCAABkcnMvZG93bnJldi54bWxQSwUGAAAAAAMAAwC3AAAA+QIAAAAA&#10;" strokecolor="#00b0f0"/>
                <v:shape id="AutoShape 2059"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" strokecolor="#002060"/>
                <v:shape id="AutoShape 2060"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CxxQAAANsAAAAPAAAAZHJzL2Rvd25yZXYueG1sRI9PawIx&#10;FMTvQr9DeIXeNLtCRb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BtGmCxxQAAANsAAAAP&#10;AAAAAAAAAAAAAAAAAAcCAABkcnMvZG93bnJldi54bWxQSwUGAAAAAAMAAwC3AAAA+QIAAAAA&#10;" strokecolor="#00b0f0"/>
                <v:shape id="AutoShape 2061"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" strokecolor="#00b0f0"/>
                <v:shape id="AutoShape 2062"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" strokecolor="#002060"/>
                <v:shape id="AutoShape 2063"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" strokecolor="#00b0f0"/>
                <v:shape id="AutoShape 2064"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" strokecolor="#00b0f0"/>
                <v:shape id="AutoShape 2065"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" strokecolor="#002060"/>
              </v:group>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3333C5" w:rsidRDefault="00F752F4" w:rsidP="003333C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236F7" w:rsidRDefault="00F752F4" w:rsidP="00523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0F4EB8" w:rsidRDefault="00F752F4" w:rsidP="000F4EB8">
    <w:pPr>
      <w:pStyle w:val="URLCover"/>
      <w:rPr>
        <w:rFonts w:eastAsia="+mn-ea"/>
      </w:rPr>
    </w:pPr>
    <w:r>
      <w:rPr>
        <w:noProof/>
        <w:snapToGrid/>
        <w:lang w:eastAsia="en-AU"/>
      </w:rPr>
      <mc:AlternateContent>
        <mc:Choice Requires="wpg">
          <w:drawing>
            <wp:anchor distT="0" distB="0" distL="114300" distR="114300" simplePos="0" relativeHeight="251658752" behindDoc="0" locked="0" layoutInCell="1" allowOverlap="1" wp14:anchorId="2E98C69B" wp14:editId="3607F3EA">
              <wp:simplePos x="0" y="0"/>
              <wp:positionH relativeFrom="page">
                <wp:posOffset>2102485</wp:posOffset>
              </wp:positionH>
              <wp:positionV relativeFrom="page">
                <wp:posOffset>911225</wp:posOffset>
              </wp:positionV>
              <wp:extent cx="5351145" cy="8866505"/>
              <wp:effectExtent l="0" t="0" r="4445" b="4445"/>
              <wp:wrapNone/>
              <wp:docPr id="2"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8866505"/>
                        <a:chOff x="3311" y="1531"/>
                        <a:chExt cx="8202" cy="13765"/>
                      </a:xfrm>
                    </wpg:grpSpPr>
                    <wps:wsp>
                      <wps:cNvPr id="5" name="Rectangle 5449"/>
                      <wps:cNvSpPr>
                        <a:spLocks noChangeArrowheads="1"/>
                      </wps:cNvSpPr>
                      <wps:spPr bwMode="auto">
                        <a:xfrm>
                          <a:off x="3311" y="8418"/>
                          <a:ext cx="7460" cy="6878"/>
                        </a:xfrm>
                        <a:prstGeom prst="rect">
                          <a:avLst/>
                        </a:prstGeom>
                        <a:solidFill>
                          <a:srgbClr val="F3B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450"/>
                      <wps:cNvSpPr>
                        <a:spLocks noChangeArrowheads="1"/>
                      </wps:cNvSpPr>
                      <wps:spPr bwMode="auto">
                        <a:xfrm>
                          <a:off x="3311" y="1531"/>
                          <a:ext cx="6314" cy="13765"/>
                        </a:xfrm>
                        <a:prstGeom prst="rect">
                          <a:avLst/>
                        </a:prstGeom>
                        <a:solidFill>
                          <a:srgbClr val="EE9C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451"/>
                      <wps:cNvSpPr>
                        <a:spLocks noChangeArrowheads="1"/>
                      </wps:cNvSpPr>
                      <wps:spPr bwMode="auto">
                        <a:xfrm>
                          <a:off x="3311" y="10138"/>
                          <a:ext cx="8202" cy="5158"/>
                        </a:xfrm>
                        <a:prstGeom prst="rect">
                          <a:avLst/>
                        </a:prstGeom>
                        <a:solidFill>
                          <a:srgbClr val="F3B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452"/>
                      <wps:cNvSpPr>
                        <a:spLocks noChangeArrowheads="1"/>
                      </wps:cNvSpPr>
                      <wps:spPr bwMode="auto">
                        <a:xfrm>
                          <a:off x="3311" y="2399"/>
                          <a:ext cx="6929" cy="12897"/>
                        </a:xfrm>
                        <a:prstGeom prst="rect">
                          <a:avLst/>
                        </a:prstGeom>
                        <a:solidFill>
                          <a:srgbClr val="E66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453"/>
                      <wps:cNvSpPr>
                        <a:spLocks noChangeArrowheads="1"/>
                      </wps:cNvSpPr>
                      <wps:spPr bwMode="auto">
                        <a:xfrm>
                          <a:off x="3311" y="10138"/>
                          <a:ext cx="7460" cy="5158"/>
                        </a:xfrm>
                        <a:prstGeom prst="rect">
                          <a:avLst/>
                        </a:prstGeom>
                        <a:solidFill>
                          <a:srgbClr val="E88C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5454"/>
                      <wps:cNvSpPr>
                        <a:spLocks noChangeArrowheads="1"/>
                      </wps:cNvSpPr>
                      <wps:spPr bwMode="auto">
                        <a:xfrm>
                          <a:off x="3311" y="2399"/>
                          <a:ext cx="6314" cy="12897"/>
                        </a:xfrm>
                        <a:prstGeom prst="rect">
                          <a:avLst/>
                        </a:prstGeom>
                        <a:solidFill>
                          <a:srgbClr val="D740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5455"/>
                      <wps:cNvSpPr>
                        <a:spLocks noChangeArrowheads="1"/>
                      </wps:cNvSpPr>
                      <wps:spPr bwMode="auto">
                        <a:xfrm>
                          <a:off x="3311" y="8418"/>
                          <a:ext cx="6929" cy="6878"/>
                        </a:xfrm>
                        <a:prstGeom prst="rect">
                          <a:avLst/>
                        </a:prstGeom>
                        <a:solidFill>
                          <a:srgbClr val="DB4D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456"/>
                      <wps:cNvSpPr>
                        <a:spLocks noChangeArrowheads="1"/>
                      </wps:cNvSpPr>
                      <wps:spPr bwMode="auto">
                        <a:xfrm>
                          <a:off x="3311" y="10138"/>
                          <a:ext cx="6929" cy="5158"/>
                        </a:xfrm>
                        <a:prstGeom prst="rect">
                          <a:avLst/>
                        </a:prstGeom>
                        <a:solidFill>
                          <a:srgbClr val="D13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457"/>
                      <wps:cNvSpPr>
                        <a:spLocks noChangeArrowheads="1"/>
                      </wps:cNvSpPr>
                      <wps:spPr bwMode="auto">
                        <a:xfrm>
                          <a:off x="3311" y="8418"/>
                          <a:ext cx="6314" cy="6878"/>
                        </a:xfrm>
                        <a:prstGeom prst="rect">
                          <a:avLst/>
                        </a:prstGeom>
                        <a:solidFill>
                          <a:srgbClr val="CD2F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5458"/>
                      <wps:cNvSpPr>
                        <a:spLocks noChangeArrowheads="1"/>
                      </wps:cNvSpPr>
                      <wps:spPr bwMode="auto">
                        <a:xfrm>
                          <a:off x="3311" y="10138"/>
                          <a:ext cx="6314" cy="5158"/>
                        </a:xfrm>
                        <a:prstGeom prst="rect">
                          <a:avLst/>
                        </a:prstGeom>
                        <a:solidFill>
                          <a:srgbClr val="C42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459"/>
                      <wps:cNvSpPr>
                        <a:spLocks noChangeArrowheads="1"/>
                      </wps:cNvSpPr>
                      <wps:spPr bwMode="auto">
                        <a:xfrm>
                          <a:off x="3311" y="11857"/>
                          <a:ext cx="3486" cy="3439"/>
                        </a:xfrm>
                        <a:prstGeom prst="rect">
                          <a:avLst/>
                        </a:prstGeom>
                        <a:solidFill>
                          <a:srgbClr val="9A17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75EA9" id="Group 5448" o:spid="_x0000_s1026" style="position:absolute;margin-left:165.55pt;margin-top:71.75pt;width:421.35pt;height:698.15pt;z-index:251658752;mso-position-horizontal-relative:page;mso-position-vertical-relative:page" coordorigin="3311,1531" coordsize="8202,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">
              <v:rect id="Rectangle 5449" o:spid="_x0000_s1027" style="position:absolute;left:3311;top:8418;width:7460;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" fillcolor="#f3bc87" stroked="f"/>
              <v:rect id="Rectangle 5450" o:spid="_x0000_s1028" style="position:absolute;left:3311;top:1531;width:6314;height:1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" fillcolor="#ee9c34" stroked="f"/>
              <v:rect id="Rectangle 5451" o:spid="_x0000_s1029" style="position:absolute;left:3311;top:10138;width:8202;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" fillcolor="#f3be26" stroked="f"/>
              <v:rect id="Rectangle 5452" o:spid="_x0000_s1030" style="position:absolute;left:3311;top:2399;width:6929;height:1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" fillcolor="#e669a2" stroked="f"/>
              <v:rect id="Rectangle 5453" o:spid="_x0000_s1031" style="position:absolute;left:3311;top:10138;width:7460;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" fillcolor="#e88c14" stroked="f"/>
              <v:rect id="Rectangle 5454" o:spid="_x0000_s1032" style="position:absolute;left:3311;top:2399;width:6314;height:1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" fillcolor="#d74021" stroked="f"/>
              <v:rect id="Rectangle 5455" o:spid="_x0000_s1033" style="position:absolute;left:3311;top:8418;width:6929;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" fillcolor="#db4d56" stroked="f"/>
              <v:rect id="Rectangle 5456" o:spid="_x0000_s1034" style="position:absolute;left:3311;top:10138;width:6929;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" fillcolor="#d13a0d" stroked="f"/>
              <v:rect id="Rectangle 5457" o:spid="_x0000_s1035" style="position:absolute;left:3311;top:8418;width:6314;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" fillcolor="#cd2f12" stroked="f"/>
              <v:rect id="Rectangle 5458" o:spid="_x0000_s1036" style="position:absolute;left:3311;top:10138;width:6314;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" fillcolor="#c42303" stroked="f"/>
              <v:rect id="Rectangle 5459" o:spid="_x0000_s1037" style="position:absolute;left:3311;top:11857;width:348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" fillcolor="#9a1702" stroked="f"/>
              <w10:wrap anchorx="page" anchory="page"/>
            </v:group>
          </w:pict>
        </mc:Fallback>
      </mc:AlternateContent>
    </w:r>
    <w:r>
      <w:rPr>
        <w:noProof/>
        <w:snapToGrid/>
        <w:lang w:eastAsia="en-AU"/>
      </w:rPr>
      <w:drawing>
        <wp:anchor distT="0" distB="0" distL="114300" distR="114300" simplePos="0" relativeHeight="251655680" behindDoc="1" locked="0" layoutInCell="1" allowOverlap="1" wp14:anchorId="6A25160C" wp14:editId="2BCBB37C">
          <wp:simplePos x="0" y="0"/>
          <wp:positionH relativeFrom="page">
            <wp:posOffset>1315587</wp:posOffset>
          </wp:positionH>
          <wp:positionV relativeFrom="page">
            <wp:posOffset>9771797</wp:posOffset>
          </wp:positionV>
          <wp:extent cx="936294" cy="545910"/>
          <wp:effectExtent l="19050" t="0" r="0" b="0"/>
          <wp:wrapNone/>
          <wp:docPr id="689" name="PwCLogoP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6294" cy="545910"/>
                  </a:xfrm>
                  <a:prstGeom prst="rect">
                    <a:avLst/>
                  </a:prstGeom>
                  <a:noFill/>
                  <a:ln w="9525">
                    <a:noFill/>
                    <a:miter lim="800000"/>
                    <a:headEnd/>
                    <a:tailEnd/>
                  </a:ln>
                </pic:spPr>
              </pic:pic>
            </a:graphicData>
          </a:graphic>
        </wp:anchor>
      </w:drawing>
    </w:r>
    <w:r>
      <w:rPr>
        <w:rFonts w:eastAsia="+mn-ea"/>
      </w:rPr>
      <w:t>www.pwc.com.au</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D1FC6" w:rsidRDefault="007765AB" w:rsidP="005D1FC6">
    <w:pPr>
      <w:pStyle w:val="Header"/>
    </w:pPr>
    <w:fldSimple w:instr=" STYLEREF &quot;Preface Title&quot; ">
      <w:r w:rsidR="000E16FA">
        <w:rPr>
          <w:noProof/>
        </w:rPr>
        <w:t>Executive Summary</w:t>
      </w:r>
    </w:fldSimple>
    <w:r w:rsidR="00F752F4">
      <w:rPr>
        <w:noProof/>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D1FC6" w:rsidRDefault="007765AB" w:rsidP="005D1FC6">
    <w:pPr>
      <w:pStyle w:val="Header"/>
    </w:pPr>
    <w:fldSimple w:instr=" STYLEREF &quot;Preface Title&quot; ">
      <w:r w:rsidR="000E16FA">
        <w:rPr>
          <w:noProof/>
        </w:rPr>
        <w:t>Executive Summary</w:t>
      </w:r>
    </w:fldSimple>
    <w:r w:rsidR="00F752F4" w:rsidRPr="005238C2">
      <w:rPr>
        <w:sz w:val="28"/>
      </w:rPr>
      <w:t xml:space="preserve"> </w:t>
    </w:r>
    <w:r w:rsidR="00F752F4">
      <w:rPr>
        <w:sz w:val="2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460052" w:rsidRDefault="00F752F4" w:rsidP="00460052">
    <w:pPr>
      <w:pStyle w:val="FirstPagePanelFrame"/>
      <w:framePr w:wrap="notBesid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D1FC6" w:rsidRDefault="007765AB" w:rsidP="005D1FC6">
    <w:pPr>
      <w:pStyle w:val="Header"/>
    </w:pPr>
    <w:fldSimple w:instr=" STYLEREF &quot;TOC Title&quot; ">
      <w:r w:rsidR="00F752F4">
        <w:rPr>
          <w:noProof/>
        </w:rPr>
        <w:t>Contents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Pr="005D1FC6" w:rsidRDefault="00F752F4" w:rsidP="005D1FC6">
    <w:pPr>
      <w:pStyle w:val="Header"/>
    </w:pPr>
    <w:r>
      <w:fldChar w:fldCharType="begin"/>
    </w:r>
    <w:r>
      <w:instrText>STYLEREF "Heading 2"</w:instrText>
    </w:r>
    <w:r>
      <w:fldChar w:fldCharType="separate"/>
    </w:r>
    <w:r>
      <w:rPr>
        <w:noProof/>
      </w:rPr>
      <w:t>Introduction</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F4" w:rsidRDefault="00F752F4" w:rsidP="0089081A">
    <w:pPr>
      <w:pStyle w:val="Header"/>
      <w:jc w:val="right"/>
    </w:pPr>
  </w:p>
  <w:p w:rsidR="00F752F4" w:rsidRPr="00460052" w:rsidRDefault="00F752F4" w:rsidP="00460052">
    <w:pPr>
      <w:pStyle w:val="FirstPagePanelFrame-Contents"/>
      <w:framePr w:wrap="notBesid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5FCDCBE"/>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085AB10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974C06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DC2D61"/>
    <w:multiLevelType w:val="hybridMultilevel"/>
    <w:tmpl w:val="1D6E555E"/>
    <w:lvl w:ilvl="0" w:tplc="E4AE7ABC">
      <w:start w:val="1"/>
      <w:numFmt w:val="bullet"/>
      <w:lvlText w:val=""/>
      <w:lvlJc w:val="left"/>
      <w:pPr>
        <w:ind w:left="720" w:hanging="360"/>
      </w:pPr>
      <w:rPr>
        <w:rFonts w:ascii="Symbol" w:hAnsi="Symbol" w:hint="default"/>
        <w:color w:val="FFFFFF" w:themeColor="background1"/>
      </w:rPr>
    </w:lvl>
    <w:lvl w:ilvl="1" w:tplc="4DEA6844">
      <w:start w:val="1"/>
      <w:numFmt w:val="bullet"/>
      <w:lvlText w:val="-"/>
      <w:lvlJc w:val="left"/>
      <w:pPr>
        <w:ind w:left="1440" w:hanging="360"/>
      </w:pPr>
      <w:rPr>
        <w:rFonts w:ascii="Georgia" w:eastAsiaTheme="minorHAnsi" w:hAnsi="Georg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115FA9"/>
    <w:multiLevelType w:val="multilevel"/>
    <w:tmpl w:val="563ED8F0"/>
    <w:name w:val="Chapter numbering list2"/>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6" w15:restartNumberingAfterBreak="0">
    <w:nsid w:val="0707557E"/>
    <w:multiLevelType w:val="hybridMultilevel"/>
    <w:tmpl w:val="F66E9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08112352"/>
    <w:multiLevelType w:val="multilevel"/>
    <w:tmpl w:val="8CEA6DAA"/>
    <w:name w:val="Bullets"/>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9"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E845C4"/>
    <w:multiLevelType w:val="hybridMultilevel"/>
    <w:tmpl w:val="7312F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4" w15:restartNumberingAfterBreak="0">
    <w:nsid w:val="14C158A3"/>
    <w:multiLevelType w:val="hybridMultilevel"/>
    <w:tmpl w:val="7C1015C4"/>
    <w:lvl w:ilvl="0" w:tplc="35E4D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FF3DFB"/>
    <w:multiLevelType w:val="multilevel"/>
    <w:tmpl w:val="2F32DE84"/>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lowerLetter"/>
      <w:lvlText w:val="%2)"/>
      <w:lvlJc w:val="left"/>
      <w:pPr>
        <w:tabs>
          <w:tab w:val="num" w:pos="567"/>
        </w:tabs>
        <w:ind w:left="568" w:hanging="284"/>
      </w:pPr>
      <w:rPr>
        <w:rFonts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19" w15:restartNumberingAfterBreak="0">
    <w:nsid w:val="1CB808B3"/>
    <w:multiLevelType w:val="hybridMultilevel"/>
    <w:tmpl w:val="1A0EF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1" w15:restartNumberingAfterBreak="0">
    <w:nsid w:val="283947C2"/>
    <w:multiLevelType w:val="multilevel"/>
    <w:tmpl w:val="50B20D3A"/>
    <w:numStyleLink w:val="TableNumberedListSmall"/>
  </w:abstractNum>
  <w:abstractNum w:abstractNumId="22" w15:restartNumberingAfterBreak="0">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3"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4"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6D1367"/>
    <w:multiLevelType w:val="multilevel"/>
    <w:tmpl w:val="A4583FE4"/>
    <w:numStyleLink w:val="ChapterNumberingList"/>
  </w:abstractNum>
  <w:abstractNum w:abstractNumId="27"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8CE777A"/>
    <w:multiLevelType w:val="hybridMultilevel"/>
    <w:tmpl w:val="0A5E212C"/>
    <w:lvl w:ilvl="0" w:tplc="59907B0C">
      <w:start w:val="2"/>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4F29E4"/>
    <w:multiLevelType w:val="multilevel"/>
    <w:tmpl w:val="A4583FE4"/>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30" w15:restartNumberingAfterBreak="0">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55C2525"/>
    <w:multiLevelType w:val="multilevel"/>
    <w:tmpl w:val="A4583FE4"/>
    <w:numStyleLink w:val="ChapterNumberingList"/>
  </w:abstractNum>
  <w:abstractNum w:abstractNumId="32"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4" w15:restartNumberingAfterBreak="0">
    <w:nsid w:val="4B180F38"/>
    <w:multiLevelType w:val="multilevel"/>
    <w:tmpl w:val="8466A62C"/>
    <w:name w:val="Chapter numbering list3"/>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5" w15:restartNumberingAfterBreak="0">
    <w:nsid w:val="4D736F8D"/>
    <w:multiLevelType w:val="hybridMultilevel"/>
    <w:tmpl w:val="6F3006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7" w15:restartNumberingAfterBreak="0">
    <w:nsid w:val="4FB7772D"/>
    <w:multiLevelType w:val="hybridMultilevel"/>
    <w:tmpl w:val="944CA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5206DE"/>
    <w:multiLevelType w:val="hybridMultilevel"/>
    <w:tmpl w:val="200A98A0"/>
    <w:lvl w:ilvl="0" w:tplc="E4AE7ABC">
      <w:start w:val="1"/>
      <w:numFmt w:val="bullet"/>
      <w:lvlText w:val=""/>
      <w:lvlJc w:val="left"/>
      <w:pPr>
        <w:ind w:left="720" w:hanging="360"/>
      </w:pPr>
      <w:rPr>
        <w:rFonts w:ascii="Symbol" w:hAnsi="Symbol" w:hint="default"/>
        <w:color w:val="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5C114A7"/>
    <w:multiLevelType w:val="hybridMultilevel"/>
    <w:tmpl w:val="0E567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D85409"/>
    <w:multiLevelType w:val="hybridMultilevel"/>
    <w:tmpl w:val="602C0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DC76B7F"/>
    <w:multiLevelType w:val="multilevel"/>
    <w:tmpl w:val="717AD28A"/>
    <w:lvl w:ilvl="0">
      <w:start w:val="1"/>
      <w:numFmt w:val="decimal"/>
      <w:lvlRestart w:val="0"/>
      <w:pStyle w:val="ChapterNumberLong"/>
      <w:suff w:val="nothing"/>
      <w:lvlText w:val="%1"/>
      <w:lvlJc w:val="left"/>
      <w:pPr>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rFonts w:hint="default"/>
      </w:rPr>
    </w:lvl>
    <w:lvl w:ilvl="4">
      <w:start w:val="1"/>
      <w:numFmt w:val="upperLetter"/>
      <w:lvlRestart w:val="0"/>
      <w:pStyle w:val="Heading4"/>
      <w:lvlText w:val="Appendix %5"/>
      <w:lvlJc w:val="left"/>
      <w:pPr>
        <w:tabs>
          <w:tab w:val="num" w:pos="3827"/>
        </w:tabs>
        <w:ind w:left="142" w:firstLine="0"/>
      </w:pPr>
      <w:rPr>
        <w:rFonts w:hint="default"/>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Restart w:val="0"/>
      <w:pStyle w:val="AppendixNumberLong"/>
      <w:suff w:val="nothing"/>
      <w:lvlText w:val="Appendix %6"/>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43" w15:restartNumberingAfterBreak="0">
    <w:nsid w:val="5E401664"/>
    <w:multiLevelType w:val="multilevel"/>
    <w:tmpl w:val="EE12AE72"/>
    <w:name w:val="LongTOC"/>
    <w:numStyleLink w:val="PwCAppendixList1"/>
  </w:abstractNum>
  <w:abstractNum w:abstractNumId="44" w15:restartNumberingAfterBreak="0">
    <w:nsid w:val="5E4302C1"/>
    <w:multiLevelType w:val="hybridMultilevel"/>
    <w:tmpl w:val="315048D8"/>
    <w:lvl w:ilvl="0" w:tplc="485AF40C">
      <w:start w:val="7"/>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917BB9"/>
    <w:multiLevelType w:val="multilevel"/>
    <w:tmpl w:val="C3DE98D4"/>
    <w:name w:val="NumberedLists2"/>
    <w:lvl w:ilvl="0">
      <w:start w:val="1"/>
      <w:numFmt w:val="none"/>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6" w15:restartNumberingAfterBreak="0">
    <w:nsid w:val="6A9A51F4"/>
    <w:multiLevelType w:val="hybridMultilevel"/>
    <w:tmpl w:val="8402B2CA"/>
    <w:name w:val="Chapter numbering list3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8" w15:restartNumberingAfterBreak="0">
    <w:nsid w:val="6F736F2D"/>
    <w:multiLevelType w:val="hybridMultilevel"/>
    <w:tmpl w:val="0A0A83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0152B7A"/>
    <w:multiLevelType w:val="hybridMultilevel"/>
    <w:tmpl w:val="51E4EDC2"/>
    <w:lvl w:ilvl="0" w:tplc="1ED2A91E">
      <w:start w:val="2026"/>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7518CF"/>
    <w:multiLevelType w:val="multilevel"/>
    <w:tmpl w:val="8CEA6DAA"/>
    <w:name w:val="Bullets2"/>
    <w:numStyleLink w:val="Bullets"/>
  </w:abstractNum>
  <w:abstractNum w:abstractNumId="51" w15:restartNumberingAfterBreak="0">
    <w:nsid w:val="7B06600A"/>
    <w:multiLevelType w:val="multilevel"/>
    <w:tmpl w:val="3C9EED24"/>
    <w:lvl w:ilvl="0">
      <w:start w:val="1"/>
      <w:numFmt w:val="decimal"/>
      <w:lvlText w:val="%1."/>
      <w:lvlJc w:val="left"/>
      <w:pPr>
        <w:tabs>
          <w:tab w:val="num" w:pos="284"/>
        </w:tabs>
        <w:ind w:left="284" w:hanging="284"/>
      </w:pPr>
      <w:rPr>
        <w:rFonts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52" w15:restartNumberingAfterBreak="0">
    <w:nsid w:val="7BDD24D2"/>
    <w:multiLevelType w:val="multilevel"/>
    <w:tmpl w:val="29B2E458"/>
    <w:lvl w:ilvl="0">
      <w:start w:val="1"/>
      <w:numFmt w:val="bullet"/>
      <w:lvlRestart w:val="0"/>
      <w:lvlText w:val=""/>
      <w:lvlJc w:val="left"/>
      <w:pPr>
        <w:tabs>
          <w:tab w:val="num" w:pos="567"/>
        </w:tabs>
        <w:ind w:left="284" w:hanging="284"/>
      </w:pPr>
      <w:rPr>
        <w:rFonts w:ascii="Symbol" w:hAnsi="Symbol" w:hint="default"/>
        <w:b w:val="0"/>
        <w:i w:val="0"/>
        <w:color w:val="auto"/>
      </w:rPr>
    </w:lvl>
    <w:lvl w:ilvl="1">
      <w:start w:val="1"/>
      <w:numFmt w:val="bullet"/>
      <w:lvlText w:val="–"/>
      <w:lvlJc w:val="left"/>
      <w:pPr>
        <w:tabs>
          <w:tab w:val="num" w:pos="851"/>
        </w:tabs>
        <w:ind w:left="568" w:hanging="284"/>
      </w:pPr>
      <w:rPr>
        <w:rFonts w:ascii="Arial" w:hAnsi="Arial" w:hint="default"/>
        <w:b w:val="0"/>
        <w:i w:val="0"/>
        <w:color w:val="auto"/>
      </w:rPr>
    </w:lvl>
    <w:lvl w:ilvl="2">
      <w:start w:val="1"/>
      <w:numFmt w:val="bullet"/>
      <w:lvlText w:val="◦"/>
      <w:lvlJc w:val="left"/>
      <w:pPr>
        <w:tabs>
          <w:tab w:val="num" w:pos="1135"/>
        </w:tabs>
        <w:ind w:left="852" w:hanging="284"/>
      </w:pPr>
      <w:rPr>
        <w:rFonts w:ascii="Georgia" w:hAnsi="Georgia" w:hint="default"/>
        <w:b w:val="0"/>
        <w:i w:val="0"/>
        <w:color w:val="auto"/>
        <w:sz w:val="18"/>
        <w:szCs w:val="10"/>
      </w:rPr>
    </w:lvl>
    <w:lvl w:ilvl="3">
      <w:start w:val="1"/>
      <w:numFmt w:val="bullet"/>
      <w:lvlText w:val=""/>
      <w:lvlJc w:val="left"/>
      <w:pPr>
        <w:tabs>
          <w:tab w:val="num" w:pos="1419"/>
        </w:tabs>
        <w:ind w:left="1136" w:hanging="284"/>
      </w:pPr>
      <w:rPr>
        <w:rFonts w:ascii="Symbol" w:hAnsi="Symbol" w:hint="default"/>
        <w:b w:val="0"/>
        <w:i w:val="0"/>
        <w:color w:val="auto"/>
        <w:sz w:val="20"/>
        <w:szCs w:val="10"/>
      </w:rPr>
    </w:lvl>
    <w:lvl w:ilvl="4">
      <w:start w:val="1"/>
      <w:numFmt w:val="bullet"/>
      <w:lvlText w:val="~"/>
      <w:lvlJc w:val="left"/>
      <w:pPr>
        <w:tabs>
          <w:tab w:val="num" w:pos="1703"/>
        </w:tabs>
        <w:ind w:left="1420" w:hanging="284"/>
      </w:pPr>
      <w:rPr>
        <w:rFonts w:ascii="Georgia" w:hAnsi="Georgia" w:hint="default"/>
        <w:color w:val="auto"/>
      </w:rPr>
    </w:lvl>
    <w:lvl w:ilvl="5">
      <w:start w:val="1"/>
      <w:numFmt w:val="lowerRoman"/>
      <w:lvlText w:val=""/>
      <w:lvlJc w:val="left"/>
      <w:pPr>
        <w:tabs>
          <w:tab w:val="num" w:pos="1987"/>
        </w:tabs>
        <w:ind w:left="1704" w:hanging="284"/>
      </w:pPr>
      <w:rPr>
        <w:rFonts w:hint="default"/>
      </w:rPr>
    </w:lvl>
    <w:lvl w:ilvl="6">
      <w:start w:val="1"/>
      <w:numFmt w:val="decimal"/>
      <w:lvlText w:val=""/>
      <w:lvlJc w:val="left"/>
      <w:pPr>
        <w:tabs>
          <w:tab w:val="num" w:pos="2271"/>
        </w:tabs>
        <w:ind w:left="1988" w:hanging="284"/>
      </w:pPr>
      <w:rPr>
        <w:rFonts w:hint="default"/>
      </w:rPr>
    </w:lvl>
    <w:lvl w:ilvl="7">
      <w:start w:val="1"/>
      <w:numFmt w:val="lowerLetter"/>
      <w:lvlText w:val=""/>
      <w:lvlJc w:val="left"/>
      <w:pPr>
        <w:tabs>
          <w:tab w:val="num" w:pos="2555"/>
        </w:tabs>
        <w:ind w:left="2272" w:hanging="284"/>
      </w:pPr>
      <w:rPr>
        <w:rFonts w:hint="default"/>
      </w:rPr>
    </w:lvl>
    <w:lvl w:ilvl="8">
      <w:start w:val="1"/>
      <w:numFmt w:val="lowerRoman"/>
      <w:lvlText w:val=""/>
      <w:lvlJc w:val="left"/>
      <w:pPr>
        <w:tabs>
          <w:tab w:val="num" w:pos="2839"/>
        </w:tabs>
        <w:ind w:left="2556" w:hanging="284"/>
      </w:pPr>
      <w:rPr>
        <w:rFonts w:hint="default"/>
      </w:rPr>
    </w:lvl>
  </w:abstractNum>
  <w:abstractNum w:abstractNumId="53" w15:restartNumberingAfterBreak="0">
    <w:nsid w:val="7D7128CD"/>
    <w:multiLevelType w:val="hybridMultilevel"/>
    <w:tmpl w:val="FEB05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32"/>
  </w:num>
  <w:num w:numId="4">
    <w:abstractNumId w:val="47"/>
  </w:num>
  <w:num w:numId="5">
    <w:abstractNumId w:val="33"/>
  </w:num>
  <w:num w:numId="6">
    <w:abstractNumId w:val="36"/>
  </w:num>
  <w:num w:numId="7">
    <w:abstractNumId w:val="23"/>
  </w:num>
  <w:num w:numId="8">
    <w:abstractNumId w:val="25"/>
  </w:num>
  <w:num w:numId="9">
    <w:abstractNumId w:val="45"/>
  </w:num>
  <w:num w:numId="10">
    <w:abstractNumId w:val="9"/>
  </w:num>
  <w:num w:numId="11">
    <w:abstractNumId w:val="30"/>
  </w:num>
  <w:num w:numId="12">
    <w:abstractNumId w:val="43"/>
  </w:num>
  <w:num w:numId="13">
    <w:abstractNumId w:val="10"/>
  </w:num>
  <w:num w:numId="14">
    <w:abstractNumId w:val="20"/>
  </w:num>
  <w:num w:numId="15">
    <w:abstractNumId w:val="22"/>
  </w:num>
  <w:num w:numId="16">
    <w:abstractNumId w:val="15"/>
  </w:num>
  <w:num w:numId="17">
    <w:abstractNumId w:val="21"/>
  </w:num>
  <w:num w:numId="18">
    <w:abstractNumId w:val="16"/>
  </w:num>
  <w:num w:numId="19">
    <w:abstractNumId w:val="11"/>
  </w:num>
  <w:num w:numId="20">
    <w:abstractNumId w:val="17"/>
  </w:num>
  <w:num w:numId="21">
    <w:abstractNumId w:val="3"/>
  </w:num>
  <w:num w:numId="22">
    <w:abstractNumId w:val="24"/>
  </w:num>
  <w:num w:numId="23">
    <w:abstractNumId w:val="8"/>
  </w:num>
  <w:num w:numId="24">
    <w:abstractNumId w:val="39"/>
  </w:num>
  <w:num w:numId="25">
    <w:abstractNumId w:val="29"/>
  </w:num>
  <w:num w:numId="26">
    <w:abstractNumId w:val="31"/>
  </w:num>
  <w:num w:numId="27">
    <w:abstractNumId w:val="26"/>
  </w:num>
  <w:num w:numId="28">
    <w:abstractNumId w:val="50"/>
  </w:num>
  <w:num w:numId="29">
    <w:abstractNumId w:val="52"/>
  </w:num>
  <w:num w:numId="30">
    <w:abstractNumId w:val="42"/>
  </w:num>
  <w:num w:numId="31">
    <w:abstractNumId w:val="48"/>
  </w:num>
  <w:num w:numId="32">
    <w:abstractNumId w:val="42"/>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45"/>
  </w:num>
  <w:num w:numId="36">
    <w:abstractNumId w:val="49"/>
  </w:num>
  <w:num w:numId="37">
    <w:abstractNumId w:val="18"/>
  </w:num>
  <w:num w:numId="38">
    <w:abstractNumId w:val="40"/>
  </w:num>
  <w:num w:numId="39">
    <w:abstractNumId w:val="53"/>
  </w:num>
  <w:num w:numId="40">
    <w:abstractNumId w:val="41"/>
  </w:num>
  <w:num w:numId="41">
    <w:abstractNumId w:val="42"/>
  </w:num>
  <w:num w:numId="42">
    <w:abstractNumId w:val="42"/>
  </w:num>
  <w:num w:numId="43">
    <w:abstractNumId w:val="19"/>
  </w:num>
  <w:num w:numId="44">
    <w:abstractNumId w:val="0"/>
  </w:num>
  <w:num w:numId="45">
    <w:abstractNumId w:val="5"/>
  </w:num>
  <w:num w:numId="46">
    <w:abstractNumId w:val="34"/>
  </w:num>
  <w:num w:numId="47">
    <w:abstractNumId w:val="14"/>
  </w:num>
  <w:num w:numId="48">
    <w:abstractNumId w:val="46"/>
  </w:num>
  <w:num w:numId="49">
    <w:abstractNumId w:val="42"/>
  </w:num>
  <w:num w:numId="50">
    <w:abstractNumId w:val="44"/>
  </w:num>
  <w:num w:numId="51">
    <w:abstractNumId w:val="42"/>
  </w:num>
  <w:num w:numId="52">
    <w:abstractNumId w:val="2"/>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1"/>
  </w:num>
  <w:num w:numId="56">
    <w:abstractNumId w:val="38"/>
  </w:num>
  <w:num w:numId="57">
    <w:abstractNumId w:val="4"/>
  </w:num>
  <w:num w:numId="58">
    <w:abstractNumId w:val="37"/>
  </w:num>
  <w:num w:numId="59">
    <w:abstractNumId w:val="12"/>
  </w:num>
  <w:num w:numId="60">
    <w:abstractNumId w:val="6"/>
  </w:num>
  <w:num w:numId="61">
    <w:abstractNumId w:val="33"/>
  </w:num>
  <w:num w:numId="62">
    <w:abstractNumId w:val="42"/>
  </w:num>
  <w:num w:numId="63">
    <w:abstractNumId w:val="43"/>
  </w:num>
  <w:num w:numId="64">
    <w:abstractNumId w:val="43"/>
  </w:num>
  <w:num w:numId="65">
    <w:abstractNumId w:val="43"/>
  </w:num>
  <w:num w:numId="66">
    <w:abstractNumId w:val="43"/>
  </w:num>
  <w:num w:numId="67">
    <w:abstractNumId w:val="43"/>
  </w:num>
  <w:num w:numId="68">
    <w:abstractNumId w:val="42"/>
  </w:num>
  <w:num w:numId="69">
    <w:abstractNumId w:val="42"/>
    <w:lvlOverride w:ilvl="0">
      <w:startOverride w:val="1"/>
    </w:lvlOverride>
    <w:lvlOverride w:ilvl="1">
      <w:startOverride w:val="8"/>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42"/>
  </w:num>
  <w:num w:numId="72">
    <w:abstractNumId w:val="42"/>
  </w:num>
  <w:num w:numId="73">
    <w:abstractNumId w:val="42"/>
  </w:num>
  <w:num w:numId="74">
    <w:abstractNumId w:val="42"/>
  </w:num>
  <w:num w:numId="75">
    <w:abstractNumId w:val="51"/>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Full" w:cryptAlgorithmClass="hash" w:cryptAlgorithmType="typeAny" w:cryptAlgorithmSid="4" w:cryptSpinCount="100000" w:hash="AwyMPpMltAa67vM5gJPiNnl/eBU=" w:salt="xYy02wJLVDhbk9v07pq4PQ=="/>
  <w:defaultTabStop w:val="720"/>
  <w:evenAndOddHeaders/>
  <w:drawingGridHorizontalSpacing w:val="100"/>
  <w:displayHorizontalDrawingGridEvery w:val="2"/>
  <w:characterSpacingControl w:val="doNotCompress"/>
  <w:hdrShapeDefaults>
    <o:shapedefaults v:ext="edit" spidmax="28673"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8C1"/>
    <w:rsid w:val="00000267"/>
    <w:rsid w:val="00000E07"/>
    <w:rsid w:val="000010DC"/>
    <w:rsid w:val="00001404"/>
    <w:rsid w:val="00001986"/>
    <w:rsid w:val="00002F7F"/>
    <w:rsid w:val="00002F85"/>
    <w:rsid w:val="000032B6"/>
    <w:rsid w:val="000046CA"/>
    <w:rsid w:val="0000535A"/>
    <w:rsid w:val="00005CEB"/>
    <w:rsid w:val="00006B9F"/>
    <w:rsid w:val="00006DC6"/>
    <w:rsid w:val="00006EF2"/>
    <w:rsid w:val="00006FF5"/>
    <w:rsid w:val="00007406"/>
    <w:rsid w:val="00007E36"/>
    <w:rsid w:val="00007EFD"/>
    <w:rsid w:val="0001069A"/>
    <w:rsid w:val="00011B56"/>
    <w:rsid w:val="000125A1"/>
    <w:rsid w:val="00013FD0"/>
    <w:rsid w:val="0001412A"/>
    <w:rsid w:val="000142BE"/>
    <w:rsid w:val="000148A7"/>
    <w:rsid w:val="00015271"/>
    <w:rsid w:val="00015598"/>
    <w:rsid w:val="00015F3F"/>
    <w:rsid w:val="00016230"/>
    <w:rsid w:val="000165FF"/>
    <w:rsid w:val="000203C2"/>
    <w:rsid w:val="00020986"/>
    <w:rsid w:val="00020F7F"/>
    <w:rsid w:val="00020F8D"/>
    <w:rsid w:val="000219D0"/>
    <w:rsid w:val="00023712"/>
    <w:rsid w:val="0002400B"/>
    <w:rsid w:val="00025277"/>
    <w:rsid w:val="00025387"/>
    <w:rsid w:val="000278B2"/>
    <w:rsid w:val="00027B5F"/>
    <w:rsid w:val="0003004A"/>
    <w:rsid w:val="000308DC"/>
    <w:rsid w:val="00031309"/>
    <w:rsid w:val="000317A6"/>
    <w:rsid w:val="00031973"/>
    <w:rsid w:val="000324F8"/>
    <w:rsid w:val="00032A4F"/>
    <w:rsid w:val="00033E5E"/>
    <w:rsid w:val="000348BE"/>
    <w:rsid w:val="00035288"/>
    <w:rsid w:val="0003687B"/>
    <w:rsid w:val="000368A5"/>
    <w:rsid w:val="000377D1"/>
    <w:rsid w:val="00040152"/>
    <w:rsid w:val="00040BC7"/>
    <w:rsid w:val="00041787"/>
    <w:rsid w:val="00041BFD"/>
    <w:rsid w:val="00041E14"/>
    <w:rsid w:val="00041F69"/>
    <w:rsid w:val="00042109"/>
    <w:rsid w:val="00043650"/>
    <w:rsid w:val="00044237"/>
    <w:rsid w:val="000444FF"/>
    <w:rsid w:val="000453B3"/>
    <w:rsid w:val="00045C12"/>
    <w:rsid w:val="000473AE"/>
    <w:rsid w:val="00047714"/>
    <w:rsid w:val="000502BE"/>
    <w:rsid w:val="000506A5"/>
    <w:rsid w:val="00050ACB"/>
    <w:rsid w:val="00051862"/>
    <w:rsid w:val="0005222A"/>
    <w:rsid w:val="00052748"/>
    <w:rsid w:val="000538C7"/>
    <w:rsid w:val="00053B82"/>
    <w:rsid w:val="00054C40"/>
    <w:rsid w:val="00055A6A"/>
    <w:rsid w:val="00055BAE"/>
    <w:rsid w:val="00055BF4"/>
    <w:rsid w:val="000566F1"/>
    <w:rsid w:val="0005674C"/>
    <w:rsid w:val="000606D1"/>
    <w:rsid w:val="00061068"/>
    <w:rsid w:val="000619A2"/>
    <w:rsid w:val="00061DA1"/>
    <w:rsid w:val="00063503"/>
    <w:rsid w:val="000639D5"/>
    <w:rsid w:val="00063BE4"/>
    <w:rsid w:val="00064201"/>
    <w:rsid w:val="00064A4C"/>
    <w:rsid w:val="00064B40"/>
    <w:rsid w:val="00064E20"/>
    <w:rsid w:val="00064EB8"/>
    <w:rsid w:val="0006530A"/>
    <w:rsid w:val="00065B22"/>
    <w:rsid w:val="00065F81"/>
    <w:rsid w:val="000670FF"/>
    <w:rsid w:val="000679F1"/>
    <w:rsid w:val="00067EC5"/>
    <w:rsid w:val="00070164"/>
    <w:rsid w:val="00070486"/>
    <w:rsid w:val="00070875"/>
    <w:rsid w:val="000713BA"/>
    <w:rsid w:val="000730FE"/>
    <w:rsid w:val="000747BB"/>
    <w:rsid w:val="00076C97"/>
    <w:rsid w:val="00077054"/>
    <w:rsid w:val="00077733"/>
    <w:rsid w:val="00077831"/>
    <w:rsid w:val="000778D4"/>
    <w:rsid w:val="00077CA4"/>
    <w:rsid w:val="00077CCE"/>
    <w:rsid w:val="00077EBF"/>
    <w:rsid w:val="00080093"/>
    <w:rsid w:val="00080AF8"/>
    <w:rsid w:val="0008139D"/>
    <w:rsid w:val="00081A58"/>
    <w:rsid w:val="00082CD9"/>
    <w:rsid w:val="00082E5A"/>
    <w:rsid w:val="00083051"/>
    <w:rsid w:val="000833FD"/>
    <w:rsid w:val="000834DC"/>
    <w:rsid w:val="00083972"/>
    <w:rsid w:val="0008423E"/>
    <w:rsid w:val="000847B3"/>
    <w:rsid w:val="00085198"/>
    <w:rsid w:val="00087C5B"/>
    <w:rsid w:val="000905BA"/>
    <w:rsid w:val="00090AAB"/>
    <w:rsid w:val="00091458"/>
    <w:rsid w:val="0009340E"/>
    <w:rsid w:val="00094408"/>
    <w:rsid w:val="00094C4B"/>
    <w:rsid w:val="00095665"/>
    <w:rsid w:val="000960FD"/>
    <w:rsid w:val="00096CE6"/>
    <w:rsid w:val="00096F31"/>
    <w:rsid w:val="000970D2"/>
    <w:rsid w:val="000A0570"/>
    <w:rsid w:val="000A0836"/>
    <w:rsid w:val="000A1F3F"/>
    <w:rsid w:val="000A1F42"/>
    <w:rsid w:val="000A38AA"/>
    <w:rsid w:val="000A3E67"/>
    <w:rsid w:val="000A4154"/>
    <w:rsid w:val="000A4352"/>
    <w:rsid w:val="000A4F74"/>
    <w:rsid w:val="000A51EE"/>
    <w:rsid w:val="000A6014"/>
    <w:rsid w:val="000A6F12"/>
    <w:rsid w:val="000A711F"/>
    <w:rsid w:val="000A744F"/>
    <w:rsid w:val="000B0022"/>
    <w:rsid w:val="000B0862"/>
    <w:rsid w:val="000B1068"/>
    <w:rsid w:val="000B211A"/>
    <w:rsid w:val="000B319E"/>
    <w:rsid w:val="000B510F"/>
    <w:rsid w:val="000B5AFD"/>
    <w:rsid w:val="000B61EE"/>
    <w:rsid w:val="000B62A0"/>
    <w:rsid w:val="000B65CE"/>
    <w:rsid w:val="000B741C"/>
    <w:rsid w:val="000B7AC9"/>
    <w:rsid w:val="000B7E22"/>
    <w:rsid w:val="000C009C"/>
    <w:rsid w:val="000C0DAD"/>
    <w:rsid w:val="000C0DC8"/>
    <w:rsid w:val="000C10E3"/>
    <w:rsid w:val="000C1439"/>
    <w:rsid w:val="000C1913"/>
    <w:rsid w:val="000C312A"/>
    <w:rsid w:val="000C3423"/>
    <w:rsid w:val="000C4821"/>
    <w:rsid w:val="000C56BD"/>
    <w:rsid w:val="000C5D73"/>
    <w:rsid w:val="000C5EEC"/>
    <w:rsid w:val="000C6F10"/>
    <w:rsid w:val="000D0C91"/>
    <w:rsid w:val="000D21C3"/>
    <w:rsid w:val="000D3B7B"/>
    <w:rsid w:val="000D3C42"/>
    <w:rsid w:val="000D3C62"/>
    <w:rsid w:val="000D4527"/>
    <w:rsid w:val="000D4999"/>
    <w:rsid w:val="000E0E16"/>
    <w:rsid w:val="000E126D"/>
    <w:rsid w:val="000E14AD"/>
    <w:rsid w:val="000E16FA"/>
    <w:rsid w:val="000E238D"/>
    <w:rsid w:val="000E2F96"/>
    <w:rsid w:val="000E3802"/>
    <w:rsid w:val="000E5A81"/>
    <w:rsid w:val="000E5D59"/>
    <w:rsid w:val="000E6525"/>
    <w:rsid w:val="000E65B2"/>
    <w:rsid w:val="000E722A"/>
    <w:rsid w:val="000E751E"/>
    <w:rsid w:val="000E7917"/>
    <w:rsid w:val="000E79F2"/>
    <w:rsid w:val="000E7BB5"/>
    <w:rsid w:val="000E7FE5"/>
    <w:rsid w:val="000F032E"/>
    <w:rsid w:val="000F118B"/>
    <w:rsid w:val="000F3054"/>
    <w:rsid w:val="000F3234"/>
    <w:rsid w:val="000F47DB"/>
    <w:rsid w:val="000F4EB8"/>
    <w:rsid w:val="000F5BBE"/>
    <w:rsid w:val="000F76FF"/>
    <w:rsid w:val="000F7762"/>
    <w:rsid w:val="000F77C6"/>
    <w:rsid w:val="001002E4"/>
    <w:rsid w:val="00100753"/>
    <w:rsid w:val="001013F4"/>
    <w:rsid w:val="001015D1"/>
    <w:rsid w:val="00101E7E"/>
    <w:rsid w:val="001026F1"/>
    <w:rsid w:val="00103591"/>
    <w:rsid w:val="00103E5F"/>
    <w:rsid w:val="001059DC"/>
    <w:rsid w:val="00105AA9"/>
    <w:rsid w:val="00106911"/>
    <w:rsid w:val="00107A19"/>
    <w:rsid w:val="00107C38"/>
    <w:rsid w:val="00110CCE"/>
    <w:rsid w:val="00111324"/>
    <w:rsid w:val="00111544"/>
    <w:rsid w:val="0011165B"/>
    <w:rsid w:val="001120D2"/>
    <w:rsid w:val="00112A1C"/>
    <w:rsid w:val="00113D7F"/>
    <w:rsid w:val="0011421B"/>
    <w:rsid w:val="00114224"/>
    <w:rsid w:val="001166B7"/>
    <w:rsid w:val="00116C85"/>
    <w:rsid w:val="001179B7"/>
    <w:rsid w:val="00117D9C"/>
    <w:rsid w:val="0012174F"/>
    <w:rsid w:val="0012177B"/>
    <w:rsid w:val="001226BE"/>
    <w:rsid w:val="0012295E"/>
    <w:rsid w:val="00123EF1"/>
    <w:rsid w:val="00124E9B"/>
    <w:rsid w:val="00124EF4"/>
    <w:rsid w:val="001256C8"/>
    <w:rsid w:val="00125AFC"/>
    <w:rsid w:val="00125D74"/>
    <w:rsid w:val="00126AFF"/>
    <w:rsid w:val="00126DC3"/>
    <w:rsid w:val="00127187"/>
    <w:rsid w:val="00127829"/>
    <w:rsid w:val="00130007"/>
    <w:rsid w:val="00130727"/>
    <w:rsid w:val="00130745"/>
    <w:rsid w:val="00132EED"/>
    <w:rsid w:val="00135AE9"/>
    <w:rsid w:val="00136924"/>
    <w:rsid w:val="00136A32"/>
    <w:rsid w:val="00137B03"/>
    <w:rsid w:val="00137B5A"/>
    <w:rsid w:val="0014062F"/>
    <w:rsid w:val="00141457"/>
    <w:rsid w:val="001415DD"/>
    <w:rsid w:val="001420B0"/>
    <w:rsid w:val="00142F9D"/>
    <w:rsid w:val="001436B6"/>
    <w:rsid w:val="001437D5"/>
    <w:rsid w:val="00144864"/>
    <w:rsid w:val="001458AB"/>
    <w:rsid w:val="00146292"/>
    <w:rsid w:val="001469D4"/>
    <w:rsid w:val="00146E85"/>
    <w:rsid w:val="0014703A"/>
    <w:rsid w:val="001476BD"/>
    <w:rsid w:val="001476BE"/>
    <w:rsid w:val="0015001A"/>
    <w:rsid w:val="001500E7"/>
    <w:rsid w:val="00150712"/>
    <w:rsid w:val="00152BA0"/>
    <w:rsid w:val="0015303F"/>
    <w:rsid w:val="0015305F"/>
    <w:rsid w:val="00153243"/>
    <w:rsid w:val="00153E14"/>
    <w:rsid w:val="00154B84"/>
    <w:rsid w:val="00155FE3"/>
    <w:rsid w:val="00157444"/>
    <w:rsid w:val="001604B6"/>
    <w:rsid w:val="001614DC"/>
    <w:rsid w:val="0016151B"/>
    <w:rsid w:val="001629A9"/>
    <w:rsid w:val="001637E3"/>
    <w:rsid w:val="001644FB"/>
    <w:rsid w:val="0016454D"/>
    <w:rsid w:val="00164A8D"/>
    <w:rsid w:val="00165AC0"/>
    <w:rsid w:val="00166AE4"/>
    <w:rsid w:val="00166E87"/>
    <w:rsid w:val="00166F4F"/>
    <w:rsid w:val="001677FF"/>
    <w:rsid w:val="00167EE0"/>
    <w:rsid w:val="00167F7E"/>
    <w:rsid w:val="00170238"/>
    <w:rsid w:val="001708CB"/>
    <w:rsid w:val="00170DF6"/>
    <w:rsid w:val="00174043"/>
    <w:rsid w:val="00175485"/>
    <w:rsid w:val="00176D38"/>
    <w:rsid w:val="0017772F"/>
    <w:rsid w:val="001779E2"/>
    <w:rsid w:val="00177E4E"/>
    <w:rsid w:val="00180895"/>
    <w:rsid w:val="00181EAE"/>
    <w:rsid w:val="001824CB"/>
    <w:rsid w:val="00182598"/>
    <w:rsid w:val="001827F1"/>
    <w:rsid w:val="00184855"/>
    <w:rsid w:val="00185379"/>
    <w:rsid w:val="001856FB"/>
    <w:rsid w:val="00185720"/>
    <w:rsid w:val="001858E2"/>
    <w:rsid w:val="00185E01"/>
    <w:rsid w:val="00185F6F"/>
    <w:rsid w:val="0018600F"/>
    <w:rsid w:val="001861C1"/>
    <w:rsid w:val="0018630A"/>
    <w:rsid w:val="00186583"/>
    <w:rsid w:val="00187218"/>
    <w:rsid w:val="00190483"/>
    <w:rsid w:val="00190C2F"/>
    <w:rsid w:val="001915AF"/>
    <w:rsid w:val="00192241"/>
    <w:rsid w:val="00192A42"/>
    <w:rsid w:val="00192ADF"/>
    <w:rsid w:val="00192F51"/>
    <w:rsid w:val="00193397"/>
    <w:rsid w:val="00194BC4"/>
    <w:rsid w:val="0019649D"/>
    <w:rsid w:val="00196F98"/>
    <w:rsid w:val="00197937"/>
    <w:rsid w:val="00197B03"/>
    <w:rsid w:val="00197C7A"/>
    <w:rsid w:val="001A00F5"/>
    <w:rsid w:val="001A01CF"/>
    <w:rsid w:val="001A0D7E"/>
    <w:rsid w:val="001A129B"/>
    <w:rsid w:val="001A1C17"/>
    <w:rsid w:val="001A24EE"/>
    <w:rsid w:val="001A2696"/>
    <w:rsid w:val="001A48C1"/>
    <w:rsid w:val="001A4FFA"/>
    <w:rsid w:val="001A529E"/>
    <w:rsid w:val="001A6378"/>
    <w:rsid w:val="001A75FA"/>
    <w:rsid w:val="001A7D05"/>
    <w:rsid w:val="001B154C"/>
    <w:rsid w:val="001B1E72"/>
    <w:rsid w:val="001B2382"/>
    <w:rsid w:val="001B3296"/>
    <w:rsid w:val="001B3327"/>
    <w:rsid w:val="001B34FF"/>
    <w:rsid w:val="001B3C7F"/>
    <w:rsid w:val="001B58F2"/>
    <w:rsid w:val="001B5E27"/>
    <w:rsid w:val="001B678D"/>
    <w:rsid w:val="001B68E9"/>
    <w:rsid w:val="001B7E5C"/>
    <w:rsid w:val="001C2061"/>
    <w:rsid w:val="001C28BE"/>
    <w:rsid w:val="001C32F9"/>
    <w:rsid w:val="001C447B"/>
    <w:rsid w:val="001C44BC"/>
    <w:rsid w:val="001C47A5"/>
    <w:rsid w:val="001C4FE3"/>
    <w:rsid w:val="001C5584"/>
    <w:rsid w:val="001C5F00"/>
    <w:rsid w:val="001C602F"/>
    <w:rsid w:val="001C6506"/>
    <w:rsid w:val="001C6D16"/>
    <w:rsid w:val="001C7E56"/>
    <w:rsid w:val="001D05FC"/>
    <w:rsid w:val="001D11DC"/>
    <w:rsid w:val="001D1AF5"/>
    <w:rsid w:val="001D2237"/>
    <w:rsid w:val="001D29AE"/>
    <w:rsid w:val="001D31A2"/>
    <w:rsid w:val="001D3DD1"/>
    <w:rsid w:val="001D4D60"/>
    <w:rsid w:val="001D65CA"/>
    <w:rsid w:val="001D7793"/>
    <w:rsid w:val="001E06FE"/>
    <w:rsid w:val="001E0793"/>
    <w:rsid w:val="001E1DC3"/>
    <w:rsid w:val="001E22E5"/>
    <w:rsid w:val="001E2F91"/>
    <w:rsid w:val="001E31A4"/>
    <w:rsid w:val="001E3EA7"/>
    <w:rsid w:val="001E41D9"/>
    <w:rsid w:val="001E45FF"/>
    <w:rsid w:val="001E5304"/>
    <w:rsid w:val="001E535F"/>
    <w:rsid w:val="001E5AFC"/>
    <w:rsid w:val="001E620F"/>
    <w:rsid w:val="001E62C4"/>
    <w:rsid w:val="001E6A50"/>
    <w:rsid w:val="001E6A5E"/>
    <w:rsid w:val="001E6C5C"/>
    <w:rsid w:val="001E6CE0"/>
    <w:rsid w:val="001E725C"/>
    <w:rsid w:val="001F0210"/>
    <w:rsid w:val="001F0793"/>
    <w:rsid w:val="001F0DAD"/>
    <w:rsid w:val="001F294A"/>
    <w:rsid w:val="001F2B74"/>
    <w:rsid w:val="001F2BB2"/>
    <w:rsid w:val="001F2C4E"/>
    <w:rsid w:val="001F3220"/>
    <w:rsid w:val="001F3D44"/>
    <w:rsid w:val="001F55EB"/>
    <w:rsid w:val="001F750F"/>
    <w:rsid w:val="001F7587"/>
    <w:rsid w:val="001F765D"/>
    <w:rsid w:val="001F792B"/>
    <w:rsid w:val="001F798F"/>
    <w:rsid w:val="001F7F26"/>
    <w:rsid w:val="00200559"/>
    <w:rsid w:val="00200EF1"/>
    <w:rsid w:val="00201183"/>
    <w:rsid w:val="002014CF"/>
    <w:rsid w:val="0020177D"/>
    <w:rsid w:val="00202810"/>
    <w:rsid w:val="00202C76"/>
    <w:rsid w:val="002030A3"/>
    <w:rsid w:val="00203710"/>
    <w:rsid w:val="00204F10"/>
    <w:rsid w:val="00205D40"/>
    <w:rsid w:val="002060EA"/>
    <w:rsid w:val="0020661B"/>
    <w:rsid w:val="00206E44"/>
    <w:rsid w:val="002075EF"/>
    <w:rsid w:val="00207E36"/>
    <w:rsid w:val="00210620"/>
    <w:rsid w:val="002108D1"/>
    <w:rsid w:val="0021094E"/>
    <w:rsid w:val="00210EEB"/>
    <w:rsid w:val="00211991"/>
    <w:rsid w:val="00212327"/>
    <w:rsid w:val="00213C42"/>
    <w:rsid w:val="0021543C"/>
    <w:rsid w:val="00215D7C"/>
    <w:rsid w:val="00215E7D"/>
    <w:rsid w:val="00215F1F"/>
    <w:rsid w:val="00217154"/>
    <w:rsid w:val="002177ED"/>
    <w:rsid w:val="00217ACA"/>
    <w:rsid w:val="00217B64"/>
    <w:rsid w:val="002219F5"/>
    <w:rsid w:val="00221B74"/>
    <w:rsid w:val="002228B6"/>
    <w:rsid w:val="00222EC0"/>
    <w:rsid w:val="002233B5"/>
    <w:rsid w:val="00223987"/>
    <w:rsid w:val="00224BA5"/>
    <w:rsid w:val="002270EA"/>
    <w:rsid w:val="0022751A"/>
    <w:rsid w:val="00230266"/>
    <w:rsid w:val="00230315"/>
    <w:rsid w:val="00231135"/>
    <w:rsid w:val="002330A0"/>
    <w:rsid w:val="00234418"/>
    <w:rsid w:val="00234835"/>
    <w:rsid w:val="002349D0"/>
    <w:rsid w:val="00234E1A"/>
    <w:rsid w:val="00234F3A"/>
    <w:rsid w:val="002353A9"/>
    <w:rsid w:val="00235653"/>
    <w:rsid w:val="0023597B"/>
    <w:rsid w:val="00235E6E"/>
    <w:rsid w:val="00236445"/>
    <w:rsid w:val="0023680B"/>
    <w:rsid w:val="002374D2"/>
    <w:rsid w:val="00237BCC"/>
    <w:rsid w:val="002407B2"/>
    <w:rsid w:val="00240FCD"/>
    <w:rsid w:val="00241695"/>
    <w:rsid w:val="00242262"/>
    <w:rsid w:val="002430E8"/>
    <w:rsid w:val="00243644"/>
    <w:rsid w:val="002445FF"/>
    <w:rsid w:val="0024482C"/>
    <w:rsid w:val="00245400"/>
    <w:rsid w:val="00245C02"/>
    <w:rsid w:val="00247067"/>
    <w:rsid w:val="00247954"/>
    <w:rsid w:val="002504DF"/>
    <w:rsid w:val="0025089F"/>
    <w:rsid w:val="00251013"/>
    <w:rsid w:val="002534B3"/>
    <w:rsid w:val="002542AB"/>
    <w:rsid w:val="0025481F"/>
    <w:rsid w:val="00255ECC"/>
    <w:rsid w:val="00256B17"/>
    <w:rsid w:val="00257062"/>
    <w:rsid w:val="002570A9"/>
    <w:rsid w:val="00257526"/>
    <w:rsid w:val="00257794"/>
    <w:rsid w:val="00260B1B"/>
    <w:rsid w:val="00260E6E"/>
    <w:rsid w:val="002627A5"/>
    <w:rsid w:val="002628D1"/>
    <w:rsid w:val="002639CC"/>
    <w:rsid w:val="00263AE9"/>
    <w:rsid w:val="0026440F"/>
    <w:rsid w:val="00264CDE"/>
    <w:rsid w:val="002659D2"/>
    <w:rsid w:val="00265E4D"/>
    <w:rsid w:val="0026608B"/>
    <w:rsid w:val="00266A04"/>
    <w:rsid w:val="00270109"/>
    <w:rsid w:val="00270144"/>
    <w:rsid w:val="00270900"/>
    <w:rsid w:val="002709D2"/>
    <w:rsid w:val="002725B8"/>
    <w:rsid w:val="00273107"/>
    <w:rsid w:val="00273234"/>
    <w:rsid w:val="002736C6"/>
    <w:rsid w:val="00273D52"/>
    <w:rsid w:val="002745E9"/>
    <w:rsid w:val="0027472A"/>
    <w:rsid w:val="00275248"/>
    <w:rsid w:val="00275813"/>
    <w:rsid w:val="00275B3F"/>
    <w:rsid w:val="00276748"/>
    <w:rsid w:val="00276DF5"/>
    <w:rsid w:val="00277441"/>
    <w:rsid w:val="0027773E"/>
    <w:rsid w:val="00280476"/>
    <w:rsid w:val="002806DF"/>
    <w:rsid w:val="002807DD"/>
    <w:rsid w:val="00281E77"/>
    <w:rsid w:val="00281EAB"/>
    <w:rsid w:val="00281F92"/>
    <w:rsid w:val="002825BF"/>
    <w:rsid w:val="00282F45"/>
    <w:rsid w:val="00283175"/>
    <w:rsid w:val="002833F5"/>
    <w:rsid w:val="002850FC"/>
    <w:rsid w:val="0028516D"/>
    <w:rsid w:val="00285547"/>
    <w:rsid w:val="0028561C"/>
    <w:rsid w:val="00285AAD"/>
    <w:rsid w:val="00285CA6"/>
    <w:rsid w:val="00285E9F"/>
    <w:rsid w:val="0028639C"/>
    <w:rsid w:val="0028699E"/>
    <w:rsid w:val="00287BBC"/>
    <w:rsid w:val="002908C9"/>
    <w:rsid w:val="00292BF1"/>
    <w:rsid w:val="0029459C"/>
    <w:rsid w:val="00295884"/>
    <w:rsid w:val="002960CE"/>
    <w:rsid w:val="00296433"/>
    <w:rsid w:val="00296814"/>
    <w:rsid w:val="00297CF4"/>
    <w:rsid w:val="002A004C"/>
    <w:rsid w:val="002A07D8"/>
    <w:rsid w:val="002A0C42"/>
    <w:rsid w:val="002A2A08"/>
    <w:rsid w:val="002A2CF6"/>
    <w:rsid w:val="002A4114"/>
    <w:rsid w:val="002A4E44"/>
    <w:rsid w:val="002A5354"/>
    <w:rsid w:val="002A5DEE"/>
    <w:rsid w:val="002A76F3"/>
    <w:rsid w:val="002B100D"/>
    <w:rsid w:val="002B10D1"/>
    <w:rsid w:val="002B1624"/>
    <w:rsid w:val="002B1CD2"/>
    <w:rsid w:val="002B22D0"/>
    <w:rsid w:val="002B2426"/>
    <w:rsid w:val="002B27CC"/>
    <w:rsid w:val="002B298D"/>
    <w:rsid w:val="002B3373"/>
    <w:rsid w:val="002B4C2E"/>
    <w:rsid w:val="002B4C86"/>
    <w:rsid w:val="002B5288"/>
    <w:rsid w:val="002B56B6"/>
    <w:rsid w:val="002B60B6"/>
    <w:rsid w:val="002B66A1"/>
    <w:rsid w:val="002B7A82"/>
    <w:rsid w:val="002B7C8E"/>
    <w:rsid w:val="002C0004"/>
    <w:rsid w:val="002C016F"/>
    <w:rsid w:val="002C0347"/>
    <w:rsid w:val="002C19C9"/>
    <w:rsid w:val="002C1FFE"/>
    <w:rsid w:val="002C29F8"/>
    <w:rsid w:val="002C2B51"/>
    <w:rsid w:val="002C3ABA"/>
    <w:rsid w:val="002C4763"/>
    <w:rsid w:val="002C4B39"/>
    <w:rsid w:val="002C5BB4"/>
    <w:rsid w:val="002C6FB3"/>
    <w:rsid w:val="002D0A6D"/>
    <w:rsid w:val="002D0E23"/>
    <w:rsid w:val="002D1153"/>
    <w:rsid w:val="002D1B11"/>
    <w:rsid w:val="002D2514"/>
    <w:rsid w:val="002D2FCF"/>
    <w:rsid w:val="002D38DD"/>
    <w:rsid w:val="002D4F4C"/>
    <w:rsid w:val="002D55F6"/>
    <w:rsid w:val="002D5CE4"/>
    <w:rsid w:val="002D5DC3"/>
    <w:rsid w:val="002D5ED0"/>
    <w:rsid w:val="002D6616"/>
    <w:rsid w:val="002D6FED"/>
    <w:rsid w:val="002D7A56"/>
    <w:rsid w:val="002D7A98"/>
    <w:rsid w:val="002E11FC"/>
    <w:rsid w:val="002E1719"/>
    <w:rsid w:val="002E1E04"/>
    <w:rsid w:val="002E2AA4"/>
    <w:rsid w:val="002E349D"/>
    <w:rsid w:val="002E3C50"/>
    <w:rsid w:val="002E481F"/>
    <w:rsid w:val="002E4B69"/>
    <w:rsid w:val="002E5B95"/>
    <w:rsid w:val="002E6590"/>
    <w:rsid w:val="002E7455"/>
    <w:rsid w:val="002F02A4"/>
    <w:rsid w:val="002F06AA"/>
    <w:rsid w:val="002F1238"/>
    <w:rsid w:val="002F323F"/>
    <w:rsid w:val="002F3B91"/>
    <w:rsid w:val="002F6082"/>
    <w:rsid w:val="002F6BF5"/>
    <w:rsid w:val="002F7A8E"/>
    <w:rsid w:val="0030011D"/>
    <w:rsid w:val="00301783"/>
    <w:rsid w:val="00301999"/>
    <w:rsid w:val="00301C65"/>
    <w:rsid w:val="00302BCF"/>
    <w:rsid w:val="00303067"/>
    <w:rsid w:val="003046E6"/>
    <w:rsid w:val="00304820"/>
    <w:rsid w:val="003064D4"/>
    <w:rsid w:val="00306F4B"/>
    <w:rsid w:val="0030743F"/>
    <w:rsid w:val="00310381"/>
    <w:rsid w:val="003103E1"/>
    <w:rsid w:val="00310CB2"/>
    <w:rsid w:val="003146EB"/>
    <w:rsid w:val="00315CD9"/>
    <w:rsid w:val="00315E29"/>
    <w:rsid w:val="00316378"/>
    <w:rsid w:val="00317710"/>
    <w:rsid w:val="0032133E"/>
    <w:rsid w:val="0032256E"/>
    <w:rsid w:val="00324F7E"/>
    <w:rsid w:val="003250F7"/>
    <w:rsid w:val="003252C8"/>
    <w:rsid w:val="00325697"/>
    <w:rsid w:val="00325C28"/>
    <w:rsid w:val="00325C37"/>
    <w:rsid w:val="00325FD3"/>
    <w:rsid w:val="0032654B"/>
    <w:rsid w:val="003270A5"/>
    <w:rsid w:val="00327C6B"/>
    <w:rsid w:val="00330934"/>
    <w:rsid w:val="00330EAA"/>
    <w:rsid w:val="003318BA"/>
    <w:rsid w:val="00331DAA"/>
    <w:rsid w:val="00332397"/>
    <w:rsid w:val="00332557"/>
    <w:rsid w:val="003333C5"/>
    <w:rsid w:val="00333B1C"/>
    <w:rsid w:val="0033405C"/>
    <w:rsid w:val="003343D7"/>
    <w:rsid w:val="00334CDC"/>
    <w:rsid w:val="00336158"/>
    <w:rsid w:val="0033646E"/>
    <w:rsid w:val="003364E5"/>
    <w:rsid w:val="00340545"/>
    <w:rsid w:val="00340549"/>
    <w:rsid w:val="00341081"/>
    <w:rsid w:val="0034289D"/>
    <w:rsid w:val="00342966"/>
    <w:rsid w:val="003445FC"/>
    <w:rsid w:val="00346235"/>
    <w:rsid w:val="00350B99"/>
    <w:rsid w:val="00351241"/>
    <w:rsid w:val="0035164B"/>
    <w:rsid w:val="00351DE1"/>
    <w:rsid w:val="00351ED0"/>
    <w:rsid w:val="00351FA6"/>
    <w:rsid w:val="003522D8"/>
    <w:rsid w:val="00352966"/>
    <w:rsid w:val="0035350F"/>
    <w:rsid w:val="0035426F"/>
    <w:rsid w:val="0035429F"/>
    <w:rsid w:val="003546E7"/>
    <w:rsid w:val="00354ADA"/>
    <w:rsid w:val="00354EE6"/>
    <w:rsid w:val="00357088"/>
    <w:rsid w:val="00357F1C"/>
    <w:rsid w:val="00360109"/>
    <w:rsid w:val="00360511"/>
    <w:rsid w:val="00360615"/>
    <w:rsid w:val="003613F0"/>
    <w:rsid w:val="003614F8"/>
    <w:rsid w:val="00363688"/>
    <w:rsid w:val="00364B09"/>
    <w:rsid w:val="003657CE"/>
    <w:rsid w:val="00366161"/>
    <w:rsid w:val="00366205"/>
    <w:rsid w:val="00366824"/>
    <w:rsid w:val="00367142"/>
    <w:rsid w:val="00367462"/>
    <w:rsid w:val="00367555"/>
    <w:rsid w:val="00367708"/>
    <w:rsid w:val="00367B96"/>
    <w:rsid w:val="00371354"/>
    <w:rsid w:val="00371362"/>
    <w:rsid w:val="00371763"/>
    <w:rsid w:val="00371C7B"/>
    <w:rsid w:val="00373B4F"/>
    <w:rsid w:val="00374D0F"/>
    <w:rsid w:val="00374EA8"/>
    <w:rsid w:val="00375276"/>
    <w:rsid w:val="0037694D"/>
    <w:rsid w:val="0037696F"/>
    <w:rsid w:val="003769C7"/>
    <w:rsid w:val="00377556"/>
    <w:rsid w:val="003779E0"/>
    <w:rsid w:val="00377EB2"/>
    <w:rsid w:val="0038008F"/>
    <w:rsid w:val="0038033A"/>
    <w:rsid w:val="00380F0E"/>
    <w:rsid w:val="00380F77"/>
    <w:rsid w:val="00381350"/>
    <w:rsid w:val="0038213B"/>
    <w:rsid w:val="00382A9D"/>
    <w:rsid w:val="00383078"/>
    <w:rsid w:val="00384651"/>
    <w:rsid w:val="00384876"/>
    <w:rsid w:val="00384AB2"/>
    <w:rsid w:val="003854AB"/>
    <w:rsid w:val="00385B5F"/>
    <w:rsid w:val="00387278"/>
    <w:rsid w:val="00391620"/>
    <w:rsid w:val="00392372"/>
    <w:rsid w:val="00392564"/>
    <w:rsid w:val="003929DD"/>
    <w:rsid w:val="00394D66"/>
    <w:rsid w:val="00395488"/>
    <w:rsid w:val="003954B0"/>
    <w:rsid w:val="003955B3"/>
    <w:rsid w:val="00396422"/>
    <w:rsid w:val="00396580"/>
    <w:rsid w:val="003A046D"/>
    <w:rsid w:val="003A0783"/>
    <w:rsid w:val="003A10D3"/>
    <w:rsid w:val="003A1137"/>
    <w:rsid w:val="003A1DD5"/>
    <w:rsid w:val="003A2D99"/>
    <w:rsid w:val="003A2E2A"/>
    <w:rsid w:val="003A3775"/>
    <w:rsid w:val="003A3791"/>
    <w:rsid w:val="003A3C92"/>
    <w:rsid w:val="003A4A6F"/>
    <w:rsid w:val="003A797E"/>
    <w:rsid w:val="003B0BC1"/>
    <w:rsid w:val="003B1871"/>
    <w:rsid w:val="003B1B8B"/>
    <w:rsid w:val="003B1CCB"/>
    <w:rsid w:val="003B326B"/>
    <w:rsid w:val="003B361D"/>
    <w:rsid w:val="003B429A"/>
    <w:rsid w:val="003B4E36"/>
    <w:rsid w:val="003B5733"/>
    <w:rsid w:val="003B5AAE"/>
    <w:rsid w:val="003B5C06"/>
    <w:rsid w:val="003B65CC"/>
    <w:rsid w:val="003B6AA0"/>
    <w:rsid w:val="003B6DA0"/>
    <w:rsid w:val="003B752C"/>
    <w:rsid w:val="003B7938"/>
    <w:rsid w:val="003C08A5"/>
    <w:rsid w:val="003C0984"/>
    <w:rsid w:val="003C0C3C"/>
    <w:rsid w:val="003C0EFE"/>
    <w:rsid w:val="003C1B0D"/>
    <w:rsid w:val="003C30D0"/>
    <w:rsid w:val="003C3565"/>
    <w:rsid w:val="003C3967"/>
    <w:rsid w:val="003C3AAC"/>
    <w:rsid w:val="003C3D9B"/>
    <w:rsid w:val="003C3F3E"/>
    <w:rsid w:val="003C42CF"/>
    <w:rsid w:val="003C44C2"/>
    <w:rsid w:val="003C4DE9"/>
    <w:rsid w:val="003C52CD"/>
    <w:rsid w:val="003C52DC"/>
    <w:rsid w:val="003C5F16"/>
    <w:rsid w:val="003C6541"/>
    <w:rsid w:val="003C71A5"/>
    <w:rsid w:val="003C7D16"/>
    <w:rsid w:val="003C7E3E"/>
    <w:rsid w:val="003D04AB"/>
    <w:rsid w:val="003D06E6"/>
    <w:rsid w:val="003D20AF"/>
    <w:rsid w:val="003D28AE"/>
    <w:rsid w:val="003D3282"/>
    <w:rsid w:val="003D41CD"/>
    <w:rsid w:val="003D429E"/>
    <w:rsid w:val="003D51A5"/>
    <w:rsid w:val="003D5331"/>
    <w:rsid w:val="003D54AD"/>
    <w:rsid w:val="003D6364"/>
    <w:rsid w:val="003D708E"/>
    <w:rsid w:val="003E05C6"/>
    <w:rsid w:val="003E0A22"/>
    <w:rsid w:val="003E0AE1"/>
    <w:rsid w:val="003E15CA"/>
    <w:rsid w:val="003E181F"/>
    <w:rsid w:val="003E1EAF"/>
    <w:rsid w:val="003E1FC9"/>
    <w:rsid w:val="003E4C68"/>
    <w:rsid w:val="003E51FF"/>
    <w:rsid w:val="003E5EF0"/>
    <w:rsid w:val="003E675E"/>
    <w:rsid w:val="003E6FC9"/>
    <w:rsid w:val="003F0189"/>
    <w:rsid w:val="003F09AD"/>
    <w:rsid w:val="003F1BDC"/>
    <w:rsid w:val="003F2926"/>
    <w:rsid w:val="003F2A12"/>
    <w:rsid w:val="003F3D89"/>
    <w:rsid w:val="003F4C35"/>
    <w:rsid w:val="003F56F2"/>
    <w:rsid w:val="003F5B3C"/>
    <w:rsid w:val="003F5F39"/>
    <w:rsid w:val="003F6306"/>
    <w:rsid w:val="003F6D1D"/>
    <w:rsid w:val="003F6E48"/>
    <w:rsid w:val="003F70F7"/>
    <w:rsid w:val="003F7436"/>
    <w:rsid w:val="004007E3"/>
    <w:rsid w:val="00400C5B"/>
    <w:rsid w:val="00400D4D"/>
    <w:rsid w:val="00401422"/>
    <w:rsid w:val="00401DA3"/>
    <w:rsid w:val="00402EEC"/>
    <w:rsid w:val="00403848"/>
    <w:rsid w:val="0040384E"/>
    <w:rsid w:val="004038BD"/>
    <w:rsid w:val="00404399"/>
    <w:rsid w:val="00404528"/>
    <w:rsid w:val="004054E0"/>
    <w:rsid w:val="004059BA"/>
    <w:rsid w:val="00405C3C"/>
    <w:rsid w:val="0040648C"/>
    <w:rsid w:val="00406928"/>
    <w:rsid w:val="00406BD8"/>
    <w:rsid w:val="00410435"/>
    <w:rsid w:val="00410D4B"/>
    <w:rsid w:val="00410FEA"/>
    <w:rsid w:val="00411104"/>
    <w:rsid w:val="00412140"/>
    <w:rsid w:val="00412358"/>
    <w:rsid w:val="004124C4"/>
    <w:rsid w:val="004137D2"/>
    <w:rsid w:val="004138E6"/>
    <w:rsid w:val="00414885"/>
    <w:rsid w:val="0041517E"/>
    <w:rsid w:val="00415D8B"/>
    <w:rsid w:val="00416280"/>
    <w:rsid w:val="0041668C"/>
    <w:rsid w:val="00416B9F"/>
    <w:rsid w:val="004174AE"/>
    <w:rsid w:val="004174FF"/>
    <w:rsid w:val="0041762D"/>
    <w:rsid w:val="00417CA1"/>
    <w:rsid w:val="00417D11"/>
    <w:rsid w:val="0042103E"/>
    <w:rsid w:val="00421228"/>
    <w:rsid w:val="00422095"/>
    <w:rsid w:val="00423054"/>
    <w:rsid w:val="004236BE"/>
    <w:rsid w:val="00424954"/>
    <w:rsid w:val="004256E9"/>
    <w:rsid w:val="00425FC5"/>
    <w:rsid w:val="004260F5"/>
    <w:rsid w:val="0043111D"/>
    <w:rsid w:val="0043136D"/>
    <w:rsid w:val="00432309"/>
    <w:rsid w:val="00432A28"/>
    <w:rsid w:val="00433033"/>
    <w:rsid w:val="00433285"/>
    <w:rsid w:val="0043430F"/>
    <w:rsid w:val="004343B3"/>
    <w:rsid w:val="004348F0"/>
    <w:rsid w:val="00435286"/>
    <w:rsid w:val="00436418"/>
    <w:rsid w:val="004376AC"/>
    <w:rsid w:val="00437DC1"/>
    <w:rsid w:val="00440D5C"/>
    <w:rsid w:val="0044108D"/>
    <w:rsid w:val="00441864"/>
    <w:rsid w:val="004418FE"/>
    <w:rsid w:val="00442265"/>
    <w:rsid w:val="004425FD"/>
    <w:rsid w:val="00442DFE"/>
    <w:rsid w:val="00442F25"/>
    <w:rsid w:val="004435DF"/>
    <w:rsid w:val="004438FA"/>
    <w:rsid w:val="00444188"/>
    <w:rsid w:val="004446EA"/>
    <w:rsid w:val="00445475"/>
    <w:rsid w:val="0044654D"/>
    <w:rsid w:val="004465CA"/>
    <w:rsid w:val="00446AAF"/>
    <w:rsid w:val="00446B77"/>
    <w:rsid w:val="00446CF6"/>
    <w:rsid w:val="00450038"/>
    <w:rsid w:val="00450840"/>
    <w:rsid w:val="00450E38"/>
    <w:rsid w:val="00451FDB"/>
    <w:rsid w:val="00452188"/>
    <w:rsid w:val="004521EC"/>
    <w:rsid w:val="00452253"/>
    <w:rsid w:val="004530B7"/>
    <w:rsid w:val="00453A75"/>
    <w:rsid w:val="0045450B"/>
    <w:rsid w:val="004546E4"/>
    <w:rsid w:val="00454D3E"/>
    <w:rsid w:val="00455300"/>
    <w:rsid w:val="00455C8F"/>
    <w:rsid w:val="00455EDD"/>
    <w:rsid w:val="00456436"/>
    <w:rsid w:val="00456E8B"/>
    <w:rsid w:val="004574EC"/>
    <w:rsid w:val="00460052"/>
    <w:rsid w:val="004616DA"/>
    <w:rsid w:val="00461AF8"/>
    <w:rsid w:val="00462400"/>
    <w:rsid w:val="00462585"/>
    <w:rsid w:val="0046265A"/>
    <w:rsid w:val="00463277"/>
    <w:rsid w:val="004638AE"/>
    <w:rsid w:val="0046540E"/>
    <w:rsid w:val="00465A6D"/>
    <w:rsid w:val="00465D73"/>
    <w:rsid w:val="00466C53"/>
    <w:rsid w:val="0047015C"/>
    <w:rsid w:val="00470697"/>
    <w:rsid w:val="00471E7F"/>
    <w:rsid w:val="00472519"/>
    <w:rsid w:val="004726F1"/>
    <w:rsid w:val="00472A77"/>
    <w:rsid w:val="00472F82"/>
    <w:rsid w:val="0047382B"/>
    <w:rsid w:val="00474A08"/>
    <w:rsid w:val="00475CE4"/>
    <w:rsid w:val="00476465"/>
    <w:rsid w:val="00476A58"/>
    <w:rsid w:val="00477D62"/>
    <w:rsid w:val="00477DCD"/>
    <w:rsid w:val="004806E1"/>
    <w:rsid w:val="00480BDE"/>
    <w:rsid w:val="00480C7A"/>
    <w:rsid w:val="00482534"/>
    <w:rsid w:val="00482B86"/>
    <w:rsid w:val="00483E95"/>
    <w:rsid w:val="00483E9D"/>
    <w:rsid w:val="0048436D"/>
    <w:rsid w:val="004849B0"/>
    <w:rsid w:val="004860A4"/>
    <w:rsid w:val="0048701E"/>
    <w:rsid w:val="00487907"/>
    <w:rsid w:val="00487DE8"/>
    <w:rsid w:val="00490157"/>
    <w:rsid w:val="0049074E"/>
    <w:rsid w:val="0049131E"/>
    <w:rsid w:val="004933EB"/>
    <w:rsid w:val="004938B4"/>
    <w:rsid w:val="00494864"/>
    <w:rsid w:val="00494C5D"/>
    <w:rsid w:val="004954CF"/>
    <w:rsid w:val="00495DCA"/>
    <w:rsid w:val="00496610"/>
    <w:rsid w:val="004977E5"/>
    <w:rsid w:val="00497C68"/>
    <w:rsid w:val="004A0652"/>
    <w:rsid w:val="004A0693"/>
    <w:rsid w:val="004A0AF2"/>
    <w:rsid w:val="004A0B99"/>
    <w:rsid w:val="004A1CC0"/>
    <w:rsid w:val="004A2288"/>
    <w:rsid w:val="004A3749"/>
    <w:rsid w:val="004A4C81"/>
    <w:rsid w:val="004A5FE8"/>
    <w:rsid w:val="004A766A"/>
    <w:rsid w:val="004A7D50"/>
    <w:rsid w:val="004B02C4"/>
    <w:rsid w:val="004B08E8"/>
    <w:rsid w:val="004B1012"/>
    <w:rsid w:val="004B1E27"/>
    <w:rsid w:val="004B24C5"/>
    <w:rsid w:val="004B40D9"/>
    <w:rsid w:val="004B4B04"/>
    <w:rsid w:val="004B68EF"/>
    <w:rsid w:val="004B7602"/>
    <w:rsid w:val="004B7C65"/>
    <w:rsid w:val="004B7D70"/>
    <w:rsid w:val="004B7E73"/>
    <w:rsid w:val="004C0466"/>
    <w:rsid w:val="004C09AF"/>
    <w:rsid w:val="004C12ED"/>
    <w:rsid w:val="004C1F04"/>
    <w:rsid w:val="004C315F"/>
    <w:rsid w:val="004C3B2E"/>
    <w:rsid w:val="004C4433"/>
    <w:rsid w:val="004C4434"/>
    <w:rsid w:val="004C5873"/>
    <w:rsid w:val="004C5B61"/>
    <w:rsid w:val="004C5FE6"/>
    <w:rsid w:val="004C7A29"/>
    <w:rsid w:val="004D01E2"/>
    <w:rsid w:val="004D03AF"/>
    <w:rsid w:val="004D0BD2"/>
    <w:rsid w:val="004D10AA"/>
    <w:rsid w:val="004D2515"/>
    <w:rsid w:val="004D2632"/>
    <w:rsid w:val="004D3CB2"/>
    <w:rsid w:val="004D59B5"/>
    <w:rsid w:val="004D68C4"/>
    <w:rsid w:val="004D69DD"/>
    <w:rsid w:val="004D6D33"/>
    <w:rsid w:val="004D7092"/>
    <w:rsid w:val="004D73E5"/>
    <w:rsid w:val="004D79F2"/>
    <w:rsid w:val="004E0593"/>
    <w:rsid w:val="004E0740"/>
    <w:rsid w:val="004E0B72"/>
    <w:rsid w:val="004E0F70"/>
    <w:rsid w:val="004E19BB"/>
    <w:rsid w:val="004E35A7"/>
    <w:rsid w:val="004E3938"/>
    <w:rsid w:val="004E41EF"/>
    <w:rsid w:val="004E42F0"/>
    <w:rsid w:val="004E623E"/>
    <w:rsid w:val="004E798E"/>
    <w:rsid w:val="004F0097"/>
    <w:rsid w:val="004F0878"/>
    <w:rsid w:val="004F0B10"/>
    <w:rsid w:val="004F101C"/>
    <w:rsid w:val="004F261E"/>
    <w:rsid w:val="004F263E"/>
    <w:rsid w:val="004F28E6"/>
    <w:rsid w:val="004F3702"/>
    <w:rsid w:val="004F417E"/>
    <w:rsid w:val="004F4C9D"/>
    <w:rsid w:val="004F7435"/>
    <w:rsid w:val="004F78E9"/>
    <w:rsid w:val="0050007E"/>
    <w:rsid w:val="00500AFA"/>
    <w:rsid w:val="005020C8"/>
    <w:rsid w:val="00502274"/>
    <w:rsid w:val="00503844"/>
    <w:rsid w:val="00503A1D"/>
    <w:rsid w:val="00504327"/>
    <w:rsid w:val="00505891"/>
    <w:rsid w:val="00505A11"/>
    <w:rsid w:val="00506A5E"/>
    <w:rsid w:val="0050706C"/>
    <w:rsid w:val="00507132"/>
    <w:rsid w:val="00510814"/>
    <w:rsid w:val="00510B83"/>
    <w:rsid w:val="005110C9"/>
    <w:rsid w:val="0051141E"/>
    <w:rsid w:val="00511B4C"/>
    <w:rsid w:val="005137DE"/>
    <w:rsid w:val="00514109"/>
    <w:rsid w:val="0051634B"/>
    <w:rsid w:val="00516747"/>
    <w:rsid w:val="00516F62"/>
    <w:rsid w:val="00520519"/>
    <w:rsid w:val="00520F1E"/>
    <w:rsid w:val="0052254D"/>
    <w:rsid w:val="005228B8"/>
    <w:rsid w:val="00522A6D"/>
    <w:rsid w:val="005236F7"/>
    <w:rsid w:val="005238C2"/>
    <w:rsid w:val="00524384"/>
    <w:rsid w:val="00524531"/>
    <w:rsid w:val="0052478B"/>
    <w:rsid w:val="00524862"/>
    <w:rsid w:val="0052509C"/>
    <w:rsid w:val="00526CC3"/>
    <w:rsid w:val="00530A80"/>
    <w:rsid w:val="00530DD2"/>
    <w:rsid w:val="00531214"/>
    <w:rsid w:val="00531671"/>
    <w:rsid w:val="00532305"/>
    <w:rsid w:val="0053269C"/>
    <w:rsid w:val="00535AE8"/>
    <w:rsid w:val="00535CEA"/>
    <w:rsid w:val="005360DD"/>
    <w:rsid w:val="005360E6"/>
    <w:rsid w:val="00536994"/>
    <w:rsid w:val="00537FB3"/>
    <w:rsid w:val="005411A8"/>
    <w:rsid w:val="005414DA"/>
    <w:rsid w:val="00542596"/>
    <w:rsid w:val="005428AF"/>
    <w:rsid w:val="00543657"/>
    <w:rsid w:val="00544D91"/>
    <w:rsid w:val="00544EFD"/>
    <w:rsid w:val="005454EC"/>
    <w:rsid w:val="00546EA3"/>
    <w:rsid w:val="005478F4"/>
    <w:rsid w:val="00547AE6"/>
    <w:rsid w:val="00550A61"/>
    <w:rsid w:val="00551B85"/>
    <w:rsid w:val="0055267F"/>
    <w:rsid w:val="00552D1C"/>
    <w:rsid w:val="00553010"/>
    <w:rsid w:val="00553472"/>
    <w:rsid w:val="0055347D"/>
    <w:rsid w:val="0055372B"/>
    <w:rsid w:val="00554BD8"/>
    <w:rsid w:val="00554C90"/>
    <w:rsid w:val="00555705"/>
    <w:rsid w:val="00556EFE"/>
    <w:rsid w:val="00557062"/>
    <w:rsid w:val="005570A4"/>
    <w:rsid w:val="00557CCD"/>
    <w:rsid w:val="0056000D"/>
    <w:rsid w:val="00560041"/>
    <w:rsid w:val="00560609"/>
    <w:rsid w:val="00561DDC"/>
    <w:rsid w:val="00561E91"/>
    <w:rsid w:val="005627BE"/>
    <w:rsid w:val="005628A2"/>
    <w:rsid w:val="005632D1"/>
    <w:rsid w:val="005633D2"/>
    <w:rsid w:val="005633DD"/>
    <w:rsid w:val="00563609"/>
    <w:rsid w:val="00564474"/>
    <w:rsid w:val="005644B1"/>
    <w:rsid w:val="00565BFC"/>
    <w:rsid w:val="005661C8"/>
    <w:rsid w:val="00566849"/>
    <w:rsid w:val="00566DB7"/>
    <w:rsid w:val="00567009"/>
    <w:rsid w:val="005700DB"/>
    <w:rsid w:val="00570AA9"/>
    <w:rsid w:val="00570B39"/>
    <w:rsid w:val="00570C99"/>
    <w:rsid w:val="00571AAD"/>
    <w:rsid w:val="00571EAB"/>
    <w:rsid w:val="00572B9E"/>
    <w:rsid w:val="005732A4"/>
    <w:rsid w:val="00573518"/>
    <w:rsid w:val="00573529"/>
    <w:rsid w:val="00574287"/>
    <w:rsid w:val="0057523A"/>
    <w:rsid w:val="0057533F"/>
    <w:rsid w:val="00576FCA"/>
    <w:rsid w:val="005800CD"/>
    <w:rsid w:val="0058099D"/>
    <w:rsid w:val="005812B6"/>
    <w:rsid w:val="00581332"/>
    <w:rsid w:val="00581365"/>
    <w:rsid w:val="00581E63"/>
    <w:rsid w:val="00582B60"/>
    <w:rsid w:val="0058390B"/>
    <w:rsid w:val="00585009"/>
    <w:rsid w:val="005851F8"/>
    <w:rsid w:val="005861D4"/>
    <w:rsid w:val="00586763"/>
    <w:rsid w:val="005869A1"/>
    <w:rsid w:val="00587172"/>
    <w:rsid w:val="00587878"/>
    <w:rsid w:val="00587A84"/>
    <w:rsid w:val="0059012C"/>
    <w:rsid w:val="00591FCE"/>
    <w:rsid w:val="00592BDE"/>
    <w:rsid w:val="00593B6E"/>
    <w:rsid w:val="00594876"/>
    <w:rsid w:val="00594D4F"/>
    <w:rsid w:val="00595141"/>
    <w:rsid w:val="0059630D"/>
    <w:rsid w:val="00596311"/>
    <w:rsid w:val="00596893"/>
    <w:rsid w:val="005970F9"/>
    <w:rsid w:val="00597208"/>
    <w:rsid w:val="005974CD"/>
    <w:rsid w:val="0059765A"/>
    <w:rsid w:val="005A07EB"/>
    <w:rsid w:val="005A0B50"/>
    <w:rsid w:val="005A0E0F"/>
    <w:rsid w:val="005A1AB2"/>
    <w:rsid w:val="005A2566"/>
    <w:rsid w:val="005A2ADD"/>
    <w:rsid w:val="005A2D8D"/>
    <w:rsid w:val="005A3234"/>
    <w:rsid w:val="005A3A30"/>
    <w:rsid w:val="005A3BE1"/>
    <w:rsid w:val="005A47D8"/>
    <w:rsid w:val="005A69E4"/>
    <w:rsid w:val="005A6E4D"/>
    <w:rsid w:val="005B0B5E"/>
    <w:rsid w:val="005B176D"/>
    <w:rsid w:val="005B2258"/>
    <w:rsid w:val="005B2536"/>
    <w:rsid w:val="005B25AF"/>
    <w:rsid w:val="005B2DEB"/>
    <w:rsid w:val="005B31FF"/>
    <w:rsid w:val="005B4BF3"/>
    <w:rsid w:val="005B6E0E"/>
    <w:rsid w:val="005B6F70"/>
    <w:rsid w:val="005B795A"/>
    <w:rsid w:val="005B7998"/>
    <w:rsid w:val="005B7FDD"/>
    <w:rsid w:val="005C00E4"/>
    <w:rsid w:val="005C0346"/>
    <w:rsid w:val="005C16A0"/>
    <w:rsid w:val="005C18E7"/>
    <w:rsid w:val="005C1925"/>
    <w:rsid w:val="005C25D5"/>
    <w:rsid w:val="005C2EC6"/>
    <w:rsid w:val="005C5F81"/>
    <w:rsid w:val="005C6197"/>
    <w:rsid w:val="005C676D"/>
    <w:rsid w:val="005C6E53"/>
    <w:rsid w:val="005C6ECC"/>
    <w:rsid w:val="005C7AB1"/>
    <w:rsid w:val="005D032E"/>
    <w:rsid w:val="005D0331"/>
    <w:rsid w:val="005D0C51"/>
    <w:rsid w:val="005D160B"/>
    <w:rsid w:val="005D1FC6"/>
    <w:rsid w:val="005D23C9"/>
    <w:rsid w:val="005D2934"/>
    <w:rsid w:val="005D2CAF"/>
    <w:rsid w:val="005D2E8C"/>
    <w:rsid w:val="005D3808"/>
    <w:rsid w:val="005D3EA4"/>
    <w:rsid w:val="005D42B2"/>
    <w:rsid w:val="005D5AF6"/>
    <w:rsid w:val="005D6424"/>
    <w:rsid w:val="005D775B"/>
    <w:rsid w:val="005E08F2"/>
    <w:rsid w:val="005E146A"/>
    <w:rsid w:val="005E201F"/>
    <w:rsid w:val="005E202F"/>
    <w:rsid w:val="005E2106"/>
    <w:rsid w:val="005E2460"/>
    <w:rsid w:val="005E2969"/>
    <w:rsid w:val="005E3034"/>
    <w:rsid w:val="005E3048"/>
    <w:rsid w:val="005E3B2E"/>
    <w:rsid w:val="005E3C65"/>
    <w:rsid w:val="005E3E41"/>
    <w:rsid w:val="005E3E42"/>
    <w:rsid w:val="005E446F"/>
    <w:rsid w:val="005E58A5"/>
    <w:rsid w:val="005E70C2"/>
    <w:rsid w:val="005F018B"/>
    <w:rsid w:val="005F07CE"/>
    <w:rsid w:val="005F11E9"/>
    <w:rsid w:val="005F1607"/>
    <w:rsid w:val="005F16AA"/>
    <w:rsid w:val="005F2906"/>
    <w:rsid w:val="005F5E18"/>
    <w:rsid w:val="005F7794"/>
    <w:rsid w:val="006015AA"/>
    <w:rsid w:val="006028C4"/>
    <w:rsid w:val="00603E20"/>
    <w:rsid w:val="00603F80"/>
    <w:rsid w:val="006050E2"/>
    <w:rsid w:val="0060612D"/>
    <w:rsid w:val="00606AC7"/>
    <w:rsid w:val="00606BE8"/>
    <w:rsid w:val="00606D96"/>
    <w:rsid w:val="00606DFC"/>
    <w:rsid w:val="00606ED7"/>
    <w:rsid w:val="00606FC1"/>
    <w:rsid w:val="006079FC"/>
    <w:rsid w:val="00607B15"/>
    <w:rsid w:val="006107D1"/>
    <w:rsid w:val="00610A70"/>
    <w:rsid w:val="00611035"/>
    <w:rsid w:val="0061276C"/>
    <w:rsid w:val="00613D97"/>
    <w:rsid w:val="0061459C"/>
    <w:rsid w:val="006170EB"/>
    <w:rsid w:val="00617CBF"/>
    <w:rsid w:val="00620CD8"/>
    <w:rsid w:val="00620DC8"/>
    <w:rsid w:val="00621F91"/>
    <w:rsid w:val="00622D10"/>
    <w:rsid w:val="0062354F"/>
    <w:rsid w:val="00623B12"/>
    <w:rsid w:val="00623DE4"/>
    <w:rsid w:val="00623EBB"/>
    <w:rsid w:val="006245CA"/>
    <w:rsid w:val="0062588B"/>
    <w:rsid w:val="00626A34"/>
    <w:rsid w:val="00627214"/>
    <w:rsid w:val="00627506"/>
    <w:rsid w:val="006304C7"/>
    <w:rsid w:val="006306AA"/>
    <w:rsid w:val="00632311"/>
    <w:rsid w:val="00632677"/>
    <w:rsid w:val="00633539"/>
    <w:rsid w:val="00633B33"/>
    <w:rsid w:val="006340DF"/>
    <w:rsid w:val="006344C3"/>
    <w:rsid w:val="006357F1"/>
    <w:rsid w:val="00635CCF"/>
    <w:rsid w:val="00635F94"/>
    <w:rsid w:val="00640F66"/>
    <w:rsid w:val="00640F80"/>
    <w:rsid w:val="00641316"/>
    <w:rsid w:val="006415CB"/>
    <w:rsid w:val="00641D31"/>
    <w:rsid w:val="006422A3"/>
    <w:rsid w:val="0064358E"/>
    <w:rsid w:val="00643DA0"/>
    <w:rsid w:val="006446F3"/>
    <w:rsid w:val="0064488B"/>
    <w:rsid w:val="0064516F"/>
    <w:rsid w:val="006454B0"/>
    <w:rsid w:val="00646809"/>
    <w:rsid w:val="006476D4"/>
    <w:rsid w:val="00650CCD"/>
    <w:rsid w:val="00650F37"/>
    <w:rsid w:val="00651F1E"/>
    <w:rsid w:val="00652397"/>
    <w:rsid w:val="00652A42"/>
    <w:rsid w:val="00653C6A"/>
    <w:rsid w:val="00655490"/>
    <w:rsid w:val="006557D4"/>
    <w:rsid w:val="006568B8"/>
    <w:rsid w:val="00657E4D"/>
    <w:rsid w:val="00660D46"/>
    <w:rsid w:val="00660DAC"/>
    <w:rsid w:val="00662F50"/>
    <w:rsid w:val="006633CB"/>
    <w:rsid w:val="00663B5E"/>
    <w:rsid w:val="00663FE2"/>
    <w:rsid w:val="00664768"/>
    <w:rsid w:val="006650EF"/>
    <w:rsid w:val="006656F3"/>
    <w:rsid w:val="006657FB"/>
    <w:rsid w:val="00665BD6"/>
    <w:rsid w:val="006673A9"/>
    <w:rsid w:val="0067238C"/>
    <w:rsid w:val="00673006"/>
    <w:rsid w:val="00673894"/>
    <w:rsid w:val="006742E0"/>
    <w:rsid w:val="006745A0"/>
    <w:rsid w:val="0067488E"/>
    <w:rsid w:val="00674C02"/>
    <w:rsid w:val="00675A7E"/>
    <w:rsid w:val="00675D72"/>
    <w:rsid w:val="00676B12"/>
    <w:rsid w:val="00676D42"/>
    <w:rsid w:val="00680799"/>
    <w:rsid w:val="00680F1C"/>
    <w:rsid w:val="00680F21"/>
    <w:rsid w:val="006814F5"/>
    <w:rsid w:val="006818CB"/>
    <w:rsid w:val="006819C0"/>
    <w:rsid w:val="0068249B"/>
    <w:rsid w:val="00682CF2"/>
    <w:rsid w:val="0068395B"/>
    <w:rsid w:val="006841F4"/>
    <w:rsid w:val="00684666"/>
    <w:rsid w:val="00684846"/>
    <w:rsid w:val="006848AB"/>
    <w:rsid w:val="00684FAE"/>
    <w:rsid w:val="00685194"/>
    <w:rsid w:val="00687829"/>
    <w:rsid w:val="00687B54"/>
    <w:rsid w:val="00690E62"/>
    <w:rsid w:val="00691281"/>
    <w:rsid w:val="006916CE"/>
    <w:rsid w:val="00691C8C"/>
    <w:rsid w:val="00691D03"/>
    <w:rsid w:val="00691D77"/>
    <w:rsid w:val="006925D6"/>
    <w:rsid w:val="00692BD3"/>
    <w:rsid w:val="00692D5B"/>
    <w:rsid w:val="00692E57"/>
    <w:rsid w:val="00694ED0"/>
    <w:rsid w:val="00695761"/>
    <w:rsid w:val="00695B02"/>
    <w:rsid w:val="006960BB"/>
    <w:rsid w:val="006964BC"/>
    <w:rsid w:val="00696937"/>
    <w:rsid w:val="0069728F"/>
    <w:rsid w:val="006A011A"/>
    <w:rsid w:val="006A0244"/>
    <w:rsid w:val="006A112C"/>
    <w:rsid w:val="006A12EC"/>
    <w:rsid w:val="006A21BB"/>
    <w:rsid w:val="006A2923"/>
    <w:rsid w:val="006A3160"/>
    <w:rsid w:val="006A32E7"/>
    <w:rsid w:val="006A36F2"/>
    <w:rsid w:val="006A3CC0"/>
    <w:rsid w:val="006A45AC"/>
    <w:rsid w:val="006A4C35"/>
    <w:rsid w:val="006A58A3"/>
    <w:rsid w:val="006A5FE3"/>
    <w:rsid w:val="006A62B8"/>
    <w:rsid w:val="006A699F"/>
    <w:rsid w:val="006A70C0"/>
    <w:rsid w:val="006A773D"/>
    <w:rsid w:val="006A7C2D"/>
    <w:rsid w:val="006B01A4"/>
    <w:rsid w:val="006B02C1"/>
    <w:rsid w:val="006B0F21"/>
    <w:rsid w:val="006B1B51"/>
    <w:rsid w:val="006B2636"/>
    <w:rsid w:val="006B2724"/>
    <w:rsid w:val="006B2B5A"/>
    <w:rsid w:val="006B2BD5"/>
    <w:rsid w:val="006B38CA"/>
    <w:rsid w:val="006B4002"/>
    <w:rsid w:val="006B4937"/>
    <w:rsid w:val="006B51D0"/>
    <w:rsid w:val="006B53B5"/>
    <w:rsid w:val="006C10BC"/>
    <w:rsid w:val="006C1783"/>
    <w:rsid w:val="006C1EC2"/>
    <w:rsid w:val="006C1EE6"/>
    <w:rsid w:val="006C21B8"/>
    <w:rsid w:val="006C2A0E"/>
    <w:rsid w:val="006C2FAD"/>
    <w:rsid w:val="006C2FE1"/>
    <w:rsid w:val="006C3769"/>
    <w:rsid w:val="006C5E97"/>
    <w:rsid w:val="006C6200"/>
    <w:rsid w:val="006C66EC"/>
    <w:rsid w:val="006C69AC"/>
    <w:rsid w:val="006C72C4"/>
    <w:rsid w:val="006D0491"/>
    <w:rsid w:val="006D0650"/>
    <w:rsid w:val="006D0A2A"/>
    <w:rsid w:val="006D1965"/>
    <w:rsid w:val="006D22E1"/>
    <w:rsid w:val="006D4FBD"/>
    <w:rsid w:val="006D5CAC"/>
    <w:rsid w:val="006D709A"/>
    <w:rsid w:val="006D70E7"/>
    <w:rsid w:val="006D7FC4"/>
    <w:rsid w:val="006E1293"/>
    <w:rsid w:val="006E1A42"/>
    <w:rsid w:val="006E2235"/>
    <w:rsid w:val="006E244F"/>
    <w:rsid w:val="006E2523"/>
    <w:rsid w:val="006E32DA"/>
    <w:rsid w:val="006E35E8"/>
    <w:rsid w:val="006E3FB3"/>
    <w:rsid w:val="006E5264"/>
    <w:rsid w:val="006E5735"/>
    <w:rsid w:val="006E71A3"/>
    <w:rsid w:val="006F057B"/>
    <w:rsid w:val="006F0B66"/>
    <w:rsid w:val="006F2D7B"/>
    <w:rsid w:val="006F37A1"/>
    <w:rsid w:val="006F4007"/>
    <w:rsid w:val="006F5B7F"/>
    <w:rsid w:val="006F5C81"/>
    <w:rsid w:val="006F62BF"/>
    <w:rsid w:val="006F70BE"/>
    <w:rsid w:val="006F771E"/>
    <w:rsid w:val="006F78E5"/>
    <w:rsid w:val="007000D0"/>
    <w:rsid w:val="007003E2"/>
    <w:rsid w:val="007004AE"/>
    <w:rsid w:val="007006DB"/>
    <w:rsid w:val="0070125F"/>
    <w:rsid w:val="00701319"/>
    <w:rsid w:val="007023B5"/>
    <w:rsid w:val="007037A7"/>
    <w:rsid w:val="00703D7A"/>
    <w:rsid w:val="0070467B"/>
    <w:rsid w:val="00704E02"/>
    <w:rsid w:val="00705ABE"/>
    <w:rsid w:val="00706579"/>
    <w:rsid w:val="0070673A"/>
    <w:rsid w:val="00706D9E"/>
    <w:rsid w:val="0070717F"/>
    <w:rsid w:val="007103FF"/>
    <w:rsid w:val="00710980"/>
    <w:rsid w:val="007115C7"/>
    <w:rsid w:val="0071186F"/>
    <w:rsid w:val="00711E1A"/>
    <w:rsid w:val="00712B7A"/>
    <w:rsid w:val="00713A51"/>
    <w:rsid w:val="00713FDF"/>
    <w:rsid w:val="007141F6"/>
    <w:rsid w:val="00714525"/>
    <w:rsid w:val="007148CF"/>
    <w:rsid w:val="00715364"/>
    <w:rsid w:val="00715EBB"/>
    <w:rsid w:val="00716396"/>
    <w:rsid w:val="00716535"/>
    <w:rsid w:val="007167DF"/>
    <w:rsid w:val="00716B1D"/>
    <w:rsid w:val="00716C29"/>
    <w:rsid w:val="00717D4B"/>
    <w:rsid w:val="00720C08"/>
    <w:rsid w:val="00721425"/>
    <w:rsid w:val="007215FA"/>
    <w:rsid w:val="00721C39"/>
    <w:rsid w:val="00722AD5"/>
    <w:rsid w:val="00722BAF"/>
    <w:rsid w:val="00722C67"/>
    <w:rsid w:val="00722E0C"/>
    <w:rsid w:val="00722E4E"/>
    <w:rsid w:val="00723595"/>
    <w:rsid w:val="00724332"/>
    <w:rsid w:val="00724559"/>
    <w:rsid w:val="007261FA"/>
    <w:rsid w:val="00726457"/>
    <w:rsid w:val="00726AB8"/>
    <w:rsid w:val="00726D14"/>
    <w:rsid w:val="00726DC1"/>
    <w:rsid w:val="00727CE0"/>
    <w:rsid w:val="00727FF3"/>
    <w:rsid w:val="007300E6"/>
    <w:rsid w:val="007301D8"/>
    <w:rsid w:val="007303D4"/>
    <w:rsid w:val="00730A5F"/>
    <w:rsid w:val="00731184"/>
    <w:rsid w:val="007320FB"/>
    <w:rsid w:val="007331EA"/>
    <w:rsid w:val="00733951"/>
    <w:rsid w:val="00733F9A"/>
    <w:rsid w:val="00734043"/>
    <w:rsid w:val="0073466D"/>
    <w:rsid w:val="00734EFF"/>
    <w:rsid w:val="00735084"/>
    <w:rsid w:val="00735194"/>
    <w:rsid w:val="0073539F"/>
    <w:rsid w:val="007367A3"/>
    <w:rsid w:val="00736F79"/>
    <w:rsid w:val="00737873"/>
    <w:rsid w:val="00737A6C"/>
    <w:rsid w:val="0074002B"/>
    <w:rsid w:val="00741AF4"/>
    <w:rsid w:val="00742423"/>
    <w:rsid w:val="00742F32"/>
    <w:rsid w:val="007430E3"/>
    <w:rsid w:val="00743679"/>
    <w:rsid w:val="00743DD2"/>
    <w:rsid w:val="00744AAF"/>
    <w:rsid w:val="0074577D"/>
    <w:rsid w:val="00745F3E"/>
    <w:rsid w:val="007461ED"/>
    <w:rsid w:val="00746A19"/>
    <w:rsid w:val="00746FC9"/>
    <w:rsid w:val="00747F87"/>
    <w:rsid w:val="00750082"/>
    <w:rsid w:val="0075024A"/>
    <w:rsid w:val="00750782"/>
    <w:rsid w:val="0075156F"/>
    <w:rsid w:val="00751797"/>
    <w:rsid w:val="00751B1B"/>
    <w:rsid w:val="00751C1F"/>
    <w:rsid w:val="00751EF4"/>
    <w:rsid w:val="00753D13"/>
    <w:rsid w:val="00753D8B"/>
    <w:rsid w:val="0075490D"/>
    <w:rsid w:val="00755627"/>
    <w:rsid w:val="007560B3"/>
    <w:rsid w:val="00756973"/>
    <w:rsid w:val="00756F46"/>
    <w:rsid w:val="00757056"/>
    <w:rsid w:val="00760610"/>
    <w:rsid w:val="00760EDA"/>
    <w:rsid w:val="007611BE"/>
    <w:rsid w:val="00762259"/>
    <w:rsid w:val="007625E6"/>
    <w:rsid w:val="007627E6"/>
    <w:rsid w:val="007628A0"/>
    <w:rsid w:val="0076395D"/>
    <w:rsid w:val="007641CF"/>
    <w:rsid w:val="007655DE"/>
    <w:rsid w:val="00765956"/>
    <w:rsid w:val="00766DE8"/>
    <w:rsid w:val="00770178"/>
    <w:rsid w:val="00770598"/>
    <w:rsid w:val="00770DC5"/>
    <w:rsid w:val="00771DD4"/>
    <w:rsid w:val="00771FB0"/>
    <w:rsid w:val="00772661"/>
    <w:rsid w:val="00773598"/>
    <w:rsid w:val="0077432E"/>
    <w:rsid w:val="007743C0"/>
    <w:rsid w:val="00775B7B"/>
    <w:rsid w:val="007765AB"/>
    <w:rsid w:val="00777852"/>
    <w:rsid w:val="00777C3A"/>
    <w:rsid w:val="00777E6C"/>
    <w:rsid w:val="00781111"/>
    <w:rsid w:val="00781444"/>
    <w:rsid w:val="00781669"/>
    <w:rsid w:val="007823D9"/>
    <w:rsid w:val="00782785"/>
    <w:rsid w:val="007840E3"/>
    <w:rsid w:val="007844EB"/>
    <w:rsid w:val="007850C6"/>
    <w:rsid w:val="00786363"/>
    <w:rsid w:val="00786D9A"/>
    <w:rsid w:val="007876CF"/>
    <w:rsid w:val="0079053E"/>
    <w:rsid w:val="007905D9"/>
    <w:rsid w:val="00790E5F"/>
    <w:rsid w:val="00792BBE"/>
    <w:rsid w:val="00792CC0"/>
    <w:rsid w:val="00792F56"/>
    <w:rsid w:val="007930CE"/>
    <w:rsid w:val="00793E5A"/>
    <w:rsid w:val="00793E6F"/>
    <w:rsid w:val="00793F3F"/>
    <w:rsid w:val="00794483"/>
    <w:rsid w:val="00794AF4"/>
    <w:rsid w:val="00794E6F"/>
    <w:rsid w:val="0079526E"/>
    <w:rsid w:val="0079562E"/>
    <w:rsid w:val="00795858"/>
    <w:rsid w:val="00795B27"/>
    <w:rsid w:val="00795C7A"/>
    <w:rsid w:val="007961D1"/>
    <w:rsid w:val="00796ABF"/>
    <w:rsid w:val="007972FB"/>
    <w:rsid w:val="0079759E"/>
    <w:rsid w:val="00797CF4"/>
    <w:rsid w:val="007A0BBD"/>
    <w:rsid w:val="007A11FB"/>
    <w:rsid w:val="007A1B38"/>
    <w:rsid w:val="007A22AF"/>
    <w:rsid w:val="007A30AA"/>
    <w:rsid w:val="007A4F13"/>
    <w:rsid w:val="007A6CEF"/>
    <w:rsid w:val="007A6EC6"/>
    <w:rsid w:val="007B0FBC"/>
    <w:rsid w:val="007B0FF0"/>
    <w:rsid w:val="007B2812"/>
    <w:rsid w:val="007B3269"/>
    <w:rsid w:val="007B4628"/>
    <w:rsid w:val="007B6743"/>
    <w:rsid w:val="007B692F"/>
    <w:rsid w:val="007B786C"/>
    <w:rsid w:val="007B793C"/>
    <w:rsid w:val="007B7E8B"/>
    <w:rsid w:val="007C0950"/>
    <w:rsid w:val="007C099C"/>
    <w:rsid w:val="007C0BC8"/>
    <w:rsid w:val="007C1C41"/>
    <w:rsid w:val="007C1FBB"/>
    <w:rsid w:val="007C2943"/>
    <w:rsid w:val="007C30DF"/>
    <w:rsid w:val="007C38BF"/>
    <w:rsid w:val="007C3AA1"/>
    <w:rsid w:val="007C519D"/>
    <w:rsid w:val="007C5AB9"/>
    <w:rsid w:val="007C649B"/>
    <w:rsid w:val="007D04AC"/>
    <w:rsid w:val="007D0619"/>
    <w:rsid w:val="007D0D57"/>
    <w:rsid w:val="007D1C0E"/>
    <w:rsid w:val="007D1C4E"/>
    <w:rsid w:val="007D2210"/>
    <w:rsid w:val="007D22FD"/>
    <w:rsid w:val="007D306C"/>
    <w:rsid w:val="007D35EF"/>
    <w:rsid w:val="007D44AB"/>
    <w:rsid w:val="007D65B4"/>
    <w:rsid w:val="007E0B9A"/>
    <w:rsid w:val="007E0DF1"/>
    <w:rsid w:val="007E3535"/>
    <w:rsid w:val="007E3953"/>
    <w:rsid w:val="007E520C"/>
    <w:rsid w:val="007E5215"/>
    <w:rsid w:val="007E5EA3"/>
    <w:rsid w:val="007E696A"/>
    <w:rsid w:val="007E714D"/>
    <w:rsid w:val="007E78AB"/>
    <w:rsid w:val="007F0879"/>
    <w:rsid w:val="007F1B0D"/>
    <w:rsid w:val="007F2123"/>
    <w:rsid w:val="007F31EB"/>
    <w:rsid w:val="007F32C3"/>
    <w:rsid w:val="007F3591"/>
    <w:rsid w:val="007F3813"/>
    <w:rsid w:val="007F385B"/>
    <w:rsid w:val="007F4D8D"/>
    <w:rsid w:val="007F5257"/>
    <w:rsid w:val="007F5627"/>
    <w:rsid w:val="007F639D"/>
    <w:rsid w:val="007F6AAF"/>
    <w:rsid w:val="007F6F0E"/>
    <w:rsid w:val="007F7BA2"/>
    <w:rsid w:val="007F7C45"/>
    <w:rsid w:val="00802D6D"/>
    <w:rsid w:val="008032CF"/>
    <w:rsid w:val="00804FBB"/>
    <w:rsid w:val="00805111"/>
    <w:rsid w:val="00805857"/>
    <w:rsid w:val="00805A20"/>
    <w:rsid w:val="0080618D"/>
    <w:rsid w:val="008067D0"/>
    <w:rsid w:val="00806B28"/>
    <w:rsid w:val="008073A9"/>
    <w:rsid w:val="00807B4A"/>
    <w:rsid w:val="00807BE9"/>
    <w:rsid w:val="00807D20"/>
    <w:rsid w:val="00810064"/>
    <w:rsid w:val="00810280"/>
    <w:rsid w:val="008109E4"/>
    <w:rsid w:val="00812301"/>
    <w:rsid w:val="0081232E"/>
    <w:rsid w:val="00813172"/>
    <w:rsid w:val="008139F3"/>
    <w:rsid w:val="00816C60"/>
    <w:rsid w:val="00817C85"/>
    <w:rsid w:val="00822702"/>
    <w:rsid w:val="00824D72"/>
    <w:rsid w:val="00826260"/>
    <w:rsid w:val="0082744D"/>
    <w:rsid w:val="00827BD0"/>
    <w:rsid w:val="008302EA"/>
    <w:rsid w:val="008307F4"/>
    <w:rsid w:val="00830810"/>
    <w:rsid w:val="00830ABB"/>
    <w:rsid w:val="00830E46"/>
    <w:rsid w:val="00830FE0"/>
    <w:rsid w:val="00831650"/>
    <w:rsid w:val="00831AD6"/>
    <w:rsid w:val="00831B3B"/>
    <w:rsid w:val="00831DD6"/>
    <w:rsid w:val="00831EAF"/>
    <w:rsid w:val="00831FAE"/>
    <w:rsid w:val="0083203A"/>
    <w:rsid w:val="00832B42"/>
    <w:rsid w:val="00834B39"/>
    <w:rsid w:val="0083579F"/>
    <w:rsid w:val="0083596F"/>
    <w:rsid w:val="00835DA2"/>
    <w:rsid w:val="00836A2F"/>
    <w:rsid w:val="00837079"/>
    <w:rsid w:val="008371DC"/>
    <w:rsid w:val="008401A8"/>
    <w:rsid w:val="0084022E"/>
    <w:rsid w:val="0084080C"/>
    <w:rsid w:val="008409D7"/>
    <w:rsid w:val="008411BC"/>
    <w:rsid w:val="00841521"/>
    <w:rsid w:val="00841666"/>
    <w:rsid w:val="00841DF7"/>
    <w:rsid w:val="00842371"/>
    <w:rsid w:val="008426CF"/>
    <w:rsid w:val="00842DC7"/>
    <w:rsid w:val="008433EE"/>
    <w:rsid w:val="00843CFC"/>
    <w:rsid w:val="00844394"/>
    <w:rsid w:val="0084487F"/>
    <w:rsid w:val="00845250"/>
    <w:rsid w:val="00845283"/>
    <w:rsid w:val="008452D8"/>
    <w:rsid w:val="00846702"/>
    <w:rsid w:val="008471B8"/>
    <w:rsid w:val="0084748B"/>
    <w:rsid w:val="0085029E"/>
    <w:rsid w:val="00850FEE"/>
    <w:rsid w:val="008510D9"/>
    <w:rsid w:val="008517A3"/>
    <w:rsid w:val="008517C7"/>
    <w:rsid w:val="00851D71"/>
    <w:rsid w:val="0085286B"/>
    <w:rsid w:val="008532E1"/>
    <w:rsid w:val="00853630"/>
    <w:rsid w:val="00853955"/>
    <w:rsid w:val="00854109"/>
    <w:rsid w:val="00854E22"/>
    <w:rsid w:val="008556C0"/>
    <w:rsid w:val="008561EE"/>
    <w:rsid w:val="008568E3"/>
    <w:rsid w:val="00857D9D"/>
    <w:rsid w:val="00861774"/>
    <w:rsid w:val="0086272C"/>
    <w:rsid w:val="008635CD"/>
    <w:rsid w:val="00863A52"/>
    <w:rsid w:val="00865063"/>
    <w:rsid w:val="00865CEE"/>
    <w:rsid w:val="008679A5"/>
    <w:rsid w:val="00870239"/>
    <w:rsid w:val="0087094B"/>
    <w:rsid w:val="00870C81"/>
    <w:rsid w:val="00871054"/>
    <w:rsid w:val="008710C4"/>
    <w:rsid w:val="00871B96"/>
    <w:rsid w:val="008729A7"/>
    <w:rsid w:val="008737A1"/>
    <w:rsid w:val="008737B1"/>
    <w:rsid w:val="00873DF2"/>
    <w:rsid w:val="0087421E"/>
    <w:rsid w:val="00875144"/>
    <w:rsid w:val="008751A2"/>
    <w:rsid w:val="00875C24"/>
    <w:rsid w:val="00876095"/>
    <w:rsid w:val="00876814"/>
    <w:rsid w:val="00876895"/>
    <w:rsid w:val="00876B12"/>
    <w:rsid w:val="008775EA"/>
    <w:rsid w:val="008775F4"/>
    <w:rsid w:val="00877B2B"/>
    <w:rsid w:val="00877E93"/>
    <w:rsid w:val="00877FAD"/>
    <w:rsid w:val="0088117E"/>
    <w:rsid w:val="00882708"/>
    <w:rsid w:val="0088304B"/>
    <w:rsid w:val="008837A4"/>
    <w:rsid w:val="0088409F"/>
    <w:rsid w:val="00884702"/>
    <w:rsid w:val="0088486A"/>
    <w:rsid w:val="00884E4A"/>
    <w:rsid w:val="0088594C"/>
    <w:rsid w:val="00886058"/>
    <w:rsid w:val="00887535"/>
    <w:rsid w:val="00887AF6"/>
    <w:rsid w:val="008901BA"/>
    <w:rsid w:val="0089077A"/>
    <w:rsid w:val="0089081A"/>
    <w:rsid w:val="00890FB4"/>
    <w:rsid w:val="008915C5"/>
    <w:rsid w:val="00891766"/>
    <w:rsid w:val="008922C6"/>
    <w:rsid w:val="00893F62"/>
    <w:rsid w:val="008951AE"/>
    <w:rsid w:val="008951E1"/>
    <w:rsid w:val="00895447"/>
    <w:rsid w:val="0089579C"/>
    <w:rsid w:val="00895CCF"/>
    <w:rsid w:val="00896720"/>
    <w:rsid w:val="008A0B4C"/>
    <w:rsid w:val="008A0C5A"/>
    <w:rsid w:val="008A16CC"/>
    <w:rsid w:val="008A1AF9"/>
    <w:rsid w:val="008A1C25"/>
    <w:rsid w:val="008A2638"/>
    <w:rsid w:val="008A2967"/>
    <w:rsid w:val="008A3C08"/>
    <w:rsid w:val="008A3D59"/>
    <w:rsid w:val="008A46E9"/>
    <w:rsid w:val="008A4CCC"/>
    <w:rsid w:val="008A4F4E"/>
    <w:rsid w:val="008A5295"/>
    <w:rsid w:val="008A630A"/>
    <w:rsid w:val="008A6A78"/>
    <w:rsid w:val="008A6A88"/>
    <w:rsid w:val="008A6C5C"/>
    <w:rsid w:val="008A70D3"/>
    <w:rsid w:val="008A737F"/>
    <w:rsid w:val="008A7AEB"/>
    <w:rsid w:val="008B0EF8"/>
    <w:rsid w:val="008B1125"/>
    <w:rsid w:val="008B1250"/>
    <w:rsid w:val="008B1CF9"/>
    <w:rsid w:val="008B1EA5"/>
    <w:rsid w:val="008B25B5"/>
    <w:rsid w:val="008B3F6B"/>
    <w:rsid w:val="008B4032"/>
    <w:rsid w:val="008B40AA"/>
    <w:rsid w:val="008B53FB"/>
    <w:rsid w:val="008B5C64"/>
    <w:rsid w:val="008B5EFE"/>
    <w:rsid w:val="008B61D6"/>
    <w:rsid w:val="008B6397"/>
    <w:rsid w:val="008B6F9F"/>
    <w:rsid w:val="008B7110"/>
    <w:rsid w:val="008C053D"/>
    <w:rsid w:val="008C098D"/>
    <w:rsid w:val="008C0F2E"/>
    <w:rsid w:val="008C14B6"/>
    <w:rsid w:val="008C1B15"/>
    <w:rsid w:val="008C2B82"/>
    <w:rsid w:val="008C2D4F"/>
    <w:rsid w:val="008C3512"/>
    <w:rsid w:val="008C3F10"/>
    <w:rsid w:val="008C52D3"/>
    <w:rsid w:val="008C5489"/>
    <w:rsid w:val="008C575A"/>
    <w:rsid w:val="008C5A39"/>
    <w:rsid w:val="008C5F44"/>
    <w:rsid w:val="008C6722"/>
    <w:rsid w:val="008C6DB5"/>
    <w:rsid w:val="008C7B0F"/>
    <w:rsid w:val="008D00E4"/>
    <w:rsid w:val="008D07D5"/>
    <w:rsid w:val="008D1571"/>
    <w:rsid w:val="008D1D22"/>
    <w:rsid w:val="008D1E7C"/>
    <w:rsid w:val="008D36B8"/>
    <w:rsid w:val="008D3914"/>
    <w:rsid w:val="008D3D1D"/>
    <w:rsid w:val="008D4477"/>
    <w:rsid w:val="008D4B93"/>
    <w:rsid w:val="008D4C70"/>
    <w:rsid w:val="008D4EBC"/>
    <w:rsid w:val="008D4EEE"/>
    <w:rsid w:val="008D50DC"/>
    <w:rsid w:val="008D562C"/>
    <w:rsid w:val="008D6B66"/>
    <w:rsid w:val="008D7610"/>
    <w:rsid w:val="008D7BC4"/>
    <w:rsid w:val="008E0C3D"/>
    <w:rsid w:val="008E2612"/>
    <w:rsid w:val="008E3858"/>
    <w:rsid w:val="008E4B31"/>
    <w:rsid w:val="008E4FB5"/>
    <w:rsid w:val="008E5CFF"/>
    <w:rsid w:val="008E64F8"/>
    <w:rsid w:val="008E66E8"/>
    <w:rsid w:val="008E6ACE"/>
    <w:rsid w:val="008E7013"/>
    <w:rsid w:val="008E710D"/>
    <w:rsid w:val="008E731C"/>
    <w:rsid w:val="008E75A3"/>
    <w:rsid w:val="008E7F5D"/>
    <w:rsid w:val="008E7FB6"/>
    <w:rsid w:val="008F0566"/>
    <w:rsid w:val="008F0A7B"/>
    <w:rsid w:val="008F1823"/>
    <w:rsid w:val="008F209B"/>
    <w:rsid w:val="008F2C41"/>
    <w:rsid w:val="008F3976"/>
    <w:rsid w:val="008F46CE"/>
    <w:rsid w:val="008F4F1A"/>
    <w:rsid w:val="008F5BF8"/>
    <w:rsid w:val="008F68ED"/>
    <w:rsid w:val="008F6E81"/>
    <w:rsid w:val="008F7D1A"/>
    <w:rsid w:val="009001A9"/>
    <w:rsid w:val="00900ACE"/>
    <w:rsid w:val="00900BFF"/>
    <w:rsid w:val="00901554"/>
    <w:rsid w:val="00901CCB"/>
    <w:rsid w:val="00901DED"/>
    <w:rsid w:val="009025BF"/>
    <w:rsid w:val="00903479"/>
    <w:rsid w:val="00904C82"/>
    <w:rsid w:val="00904E74"/>
    <w:rsid w:val="009060E8"/>
    <w:rsid w:val="0090634D"/>
    <w:rsid w:val="009069AC"/>
    <w:rsid w:val="0090724C"/>
    <w:rsid w:val="0091050E"/>
    <w:rsid w:val="009108B3"/>
    <w:rsid w:val="009111B1"/>
    <w:rsid w:val="009111C7"/>
    <w:rsid w:val="00911D6C"/>
    <w:rsid w:val="00913136"/>
    <w:rsid w:val="00914F3F"/>
    <w:rsid w:val="00915362"/>
    <w:rsid w:val="009153C4"/>
    <w:rsid w:val="00915F2F"/>
    <w:rsid w:val="00916022"/>
    <w:rsid w:val="00916435"/>
    <w:rsid w:val="009203E7"/>
    <w:rsid w:val="009204C1"/>
    <w:rsid w:val="009225A4"/>
    <w:rsid w:val="009231BC"/>
    <w:rsid w:val="00923226"/>
    <w:rsid w:val="0092343E"/>
    <w:rsid w:val="009235C1"/>
    <w:rsid w:val="00923A80"/>
    <w:rsid w:val="00924862"/>
    <w:rsid w:val="00924CA6"/>
    <w:rsid w:val="009254FD"/>
    <w:rsid w:val="00925E87"/>
    <w:rsid w:val="009262C4"/>
    <w:rsid w:val="0092696D"/>
    <w:rsid w:val="009273B8"/>
    <w:rsid w:val="009278D4"/>
    <w:rsid w:val="0092792E"/>
    <w:rsid w:val="00927EEB"/>
    <w:rsid w:val="009301DC"/>
    <w:rsid w:val="00930699"/>
    <w:rsid w:val="00930AB8"/>
    <w:rsid w:val="00930D3B"/>
    <w:rsid w:val="00931257"/>
    <w:rsid w:val="009312BB"/>
    <w:rsid w:val="009315A4"/>
    <w:rsid w:val="00931F8A"/>
    <w:rsid w:val="009328F3"/>
    <w:rsid w:val="009333B2"/>
    <w:rsid w:val="00933433"/>
    <w:rsid w:val="009339DA"/>
    <w:rsid w:val="00934425"/>
    <w:rsid w:val="00934C80"/>
    <w:rsid w:val="00935358"/>
    <w:rsid w:val="00936DC8"/>
    <w:rsid w:val="00936FB8"/>
    <w:rsid w:val="00937568"/>
    <w:rsid w:val="00940040"/>
    <w:rsid w:val="00940AEE"/>
    <w:rsid w:val="009419A4"/>
    <w:rsid w:val="00941DEA"/>
    <w:rsid w:val="009422F7"/>
    <w:rsid w:val="0094242B"/>
    <w:rsid w:val="0094319D"/>
    <w:rsid w:val="0094359B"/>
    <w:rsid w:val="0094634A"/>
    <w:rsid w:val="009471D4"/>
    <w:rsid w:val="00947B51"/>
    <w:rsid w:val="00947BDB"/>
    <w:rsid w:val="00947D69"/>
    <w:rsid w:val="00947D84"/>
    <w:rsid w:val="00950500"/>
    <w:rsid w:val="00950A05"/>
    <w:rsid w:val="009526F9"/>
    <w:rsid w:val="0095290F"/>
    <w:rsid w:val="00952947"/>
    <w:rsid w:val="00952FD0"/>
    <w:rsid w:val="00953CF6"/>
    <w:rsid w:val="00954713"/>
    <w:rsid w:val="009548BB"/>
    <w:rsid w:val="00954AB1"/>
    <w:rsid w:val="00954AF7"/>
    <w:rsid w:val="00955216"/>
    <w:rsid w:val="00955A6C"/>
    <w:rsid w:val="00956CF1"/>
    <w:rsid w:val="00956CFA"/>
    <w:rsid w:val="00960746"/>
    <w:rsid w:val="00961CB3"/>
    <w:rsid w:val="00962770"/>
    <w:rsid w:val="00962D16"/>
    <w:rsid w:val="00962FD4"/>
    <w:rsid w:val="009651FA"/>
    <w:rsid w:val="00965D64"/>
    <w:rsid w:val="00965E95"/>
    <w:rsid w:val="00966EFE"/>
    <w:rsid w:val="009672F6"/>
    <w:rsid w:val="00967C0A"/>
    <w:rsid w:val="00971CD3"/>
    <w:rsid w:val="00972C26"/>
    <w:rsid w:val="00972D54"/>
    <w:rsid w:val="0097425A"/>
    <w:rsid w:val="009747DF"/>
    <w:rsid w:val="00974A4D"/>
    <w:rsid w:val="00975188"/>
    <w:rsid w:val="00975419"/>
    <w:rsid w:val="009760EC"/>
    <w:rsid w:val="00976504"/>
    <w:rsid w:val="00976B3E"/>
    <w:rsid w:val="00976D38"/>
    <w:rsid w:val="0097760A"/>
    <w:rsid w:val="00977D67"/>
    <w:rsid w:val="0098057D"/>
    <w:rsid w:val="00981F00"/>
    <w:rsid w:val="00982793"/>
    <w:rsid w:val="00982C1A"/>
    <w:rsid w:val="00983FA7"/>
    <w:rsid w:val="0098403B"/>
    <w:rsid w:val="009848B5"/>
    <w:rsid w:val="00984F02"/>
    <w:rsid w:val="0098524A"/>
    <w:rsid w:val="00985C82"/>
    <w:rsid w:val="00985DA3"/>
    <w:rsid w:val="00986DF4"/>
    <w:rsid w:val="009874B9"/>
    <w:rsid w:val="00987579"/>
    <w:rsid w:val="009903E2"/>
    <w:rsid w:val="00991BCC"/>
    <w:rsid w:val="00992029"/>
    <w:rsid w:val="009928EF"/>
    <w:rsid w:val="00992B0A"/>
    <w:rsid w:val="009938FE"/>
    <w:rsid w:val="00993DBB"/>
    <w:rsid w:val="00994402"/>
    <w:rsid w:val="00994A0F"/>
    <w:rsid w:val="00996370"/>
    <w:rsid w:val="00996D1D"/>
    <w:rsid w:val="009A02E7"/>
    <w:rsid w:val="009A0CB3"/>
    <w:rsid w:val="009A119F"/>
    <w:rsid w:val="009A2E69"/>
    <w:rsid w:val="009A3B2E"/>
    <w:rsid w:val="009A417A"/>
    <w:rsid w:val="009A4713"/>
    <w:rsid w:val="009A4F0E"/>
    <w:rsid w:val="009A5C1D"/>
    <w:rsid w:val="009A646C"/>
    <w:rsid w:val="009A6781"/>
    <w:rsid w:val="009A6899"/>
    <w:rsid w:val="009A7A6E"/>
    <w:rsid w:val="009B0527"/>
    <w:rsid w:val="009B05E3"/>
    <w:rsid w:val="009B09DB"/>
    <w:rsid w:val="009B0D8E"/>
    <w:rsid w:val="009B162F"/>
    <w:rsid w:val="009B2A26"/>
    <w:rsid w:val="009B3D70"/>
    <w:rsid w:val="009B3E02"/>
    <w:rsid w:val="009B4ED6"/>
    <w:rsid w:val="009B5164"/>
    <w:rsid w:val="009B68A3"/>
    <w:rsid w:val="009B69BD"/>
    <w:rsid w:val="009B6C17"/>
    <w:rsid w:val="009B77D4"/>
    <w:rsid w:val="009C097B"/>
    <w:rsid w:val="009C0AA7"/>
    <w:rsid w:val="009C2220"/>
    <w:rsid w:val="009C2A86"/>
    <w:rsid w:val="009C372F"/>
    <w:rsid w:val="009C3BE3"/>
    <w:rsid w:val="009C3F7F"/>
    <w:rsid w:val="009C447B"/>
    <w:rsid w:val="009C475F"/>
    <w:rsid w:val="009C60B9"/>
    <w:rsid w:val="009C65E6"/>
    <w:rsid w:val="009C7186"/>
    <w:rsid w:val="009C74AC"/>
    <w:rsid w:val="009C7C3E"/>
    <w:rsid w:val="009C7D8B"/>
    <w:rsid w:val="009D1354"/>
    <w:rsid w:val="009D18AB"/>
    <w:rsid w:val="009D1EF5"/>
    <w:rsid w:val="009D213A"/>
    <w:rsid w:val="009D2E45"/>
    <w:rsid w:val="009D3AAD"/>
    <w:rsid w:val="009D42CA"/>
    <w:rsid w:val="009D55F1"/>
    <w:rsid w:val="009D7202"/>
    <w:rsid w:val="009E0BC1"/>
    <w:rsid w:val="009E0C12"/>
    <w:rsid w:val="009E19C8"/>
    <w:rsid w:val="009E1AC2"/>
    <w:rsid w:val="009E3B43"/>
    <w:rsid w:val="009E4633"/>
    <w:rsid w:val="009E4832"/>
    <w:rsid w:val="009E505C"/>
    <w:rsid w:val="009E5218"/>
    <w:rsid w:val="009E52DE"/>
    <w:rsid w:val="009E54C5"/>
    <w:rsid w:val="009F0715"/>
    <w:rsid w:val="009F14A8"/>
    <w:rsid w:val="009F16D4"/>
    <w:rsid w:val="009F1CBC"/>
    <w:rsid w:val="009F2BEA"/>
    <w:rsid w:val="009F2D50"/>
    <w:rsid w:val="009F30BD"/>
    <w:rsid w:val="009F36D7"/>
    <w:rsid w:val="009F38AA"/>
    <w:rsid w:val="009F3E4A"/>
    <w:rsid w:val="009F4ED9"/>
    <w:rsid w:val="009F574D"/>
    <w:rsid w:val="009F5B9F"/>
    <w:rsid w:val="009F6052"/>
    <w:rsid w:val="009F7A49"/>
    <w:rsid w:val="00A0089B"/>
    <w:rsid w:val="00A01E30"/>
    <w:rsid w:val="00A020C0"/>
    <w:rsid w:val="00A021C2"/>
    <w:rsid w:val="00A02B3B"/>
    <w:rsid w:val="00A03364"/>
    <w:rsid w:val="00A03858"/>
    <w:rsid w:val="00A03F70"/>
    <w:rsid w:val="00A05092"/>
    <w:rsid w:val="00A05410"/>
    <w:rsid w:val="00A05498"/>
    <w:rsid w:val="00A05B67"/>
    <w:rsid w:val="00A0655E"/>
    <w:rsid w:val="00A07C5F"/>
    <w:rsid w:val="00A07D67"/>
    <w:rsid w:val="00A11BE0"/>
    <w:rsid w:val="00A11FE4"/>
    <w:rsid w:val="00A137E4"/>
    <w:rsid w:val="00A145DF"/>
    <w:rsid w:val="00A14944"/>
    <w:rsid w:val="00A15D37"/>
    <w:rsid w:val="00A2076B"/>
    <w:rsid w:val="00A2191B"/>
    <w:rsid w:val="00A21F41"/>
    <w:rsid w:val="00A22386"/>
    <w:rsid w:val="00A22822"/>
    <w:rsid w:val="00A2289D"/>
    <w:rsid w:val="00A23387"/>
    <w:rsid w:val="00A23BBC"/>
    <w:rsid w:val="00A2469A"/>
    <w:rsid w:val="00A24B44"/>
    <w:rsid w:val="00A25AE2"/>
    <w:rsid w:val="00A25D18"/>
    <w:rsid w:val="00A25EDF"/>
    <w:rsid w:val="00A26023"/>
    <w:rsid w:val="00A26250"/>
    <w:rsid w:val="00A2666A"/>
    <w:rsid w:val="00A31611"/>
    <w:rsid w:val="00A31B97"/>
    <w:rsid w:val="00A3213F"/>
    <w:rsid w:val="00A322DD"/>
    <w:rsid w:val="00A327F2"/>
    <w:rsid w:val="00A33A53"/>
    <w:rsid w:val="00A34A9D"/>
    <w:rsid w:val="00A35494"/>
    <w:rsid w:val="00A3584A"/>
    <w:rsid w:val="00A36255"/>
    <w:rsid w:val="00A3701E"/>
    <w:rsid w:val="00A40699"/>
    <w:rsid w:val="00A41280"/>
    <w:rsid w:val="00A44385"/>
    <w:rsid w:val="00A44D17"/>
    <w:rsid w:val="00A451F0"/>
    <w:rsid w:val="00A45668"/>
    <w:rsid w:val="00A46831"/>
    <w:rsid w:val="00A46F3B"/>
    <w:rsid w:val="00A47BC7"/>
    <w:rsid w:val="00A50D63"/>
    <w:rsid w:val="00A5166B"/>
    <w:rsid w:val="00A51793"/>
    <w:rsid w:val="00A51D36"/>
    <w:rsid w:val="00A523D9"/>
    <w:rsid w:val="00A52B3A"/>
    <w:rsid w:val="00A530C1"/>
    <w:rsid w:val="00A53E19"/>
    <w:rsid w:val="00A54549"/>
    <w:rsid w:val="00A54881"/>
    <w:rsid w:val="00A54F36"/>
    <w:rsid w:val="00A551C7"/>
    <w:rsid w:val="00A55654"/>
    <w:rsid w:val="00A55F34"/>
    <w:rsid w:val="00A56069"/>
    <w:rsid w:val="00A56408"/>
    <w:rsid w:val="00A578F3"/>
    <w:rsid w:val="00A57C2A"/>
    <w:rsid w:val="00A60E2A"/>
    <w:rsid w:val="00A61341"/>
    <w:rsid w:val="00A61742"/>
    <w:rsid w:val="00A61A20"/>
    <w:rsid w:val="00A62112"/>
    <w:rsid w:val="00A623ED"/>
    <w:rsid w:val="00A62968"/>
    <w:rsid w:val="00A634AD"/>
    <w:rsid w:val="00A63E2F"/>
    <w:rsid w:val="00A63F2A"/>
    <w:rsid w:val="00A6668E"/>
    <w:rsid w:val="00A674BE"/>
    <w:rsid w:val="00A67953"/>
    <w:rsid w:val="00A70291"/>
    <w:rsid w:val="00A703B9"/>
    <w:rsid w:val="00A70C5D"/>
    <w:rsid w:val="00A70DFF"/>
    <w:rsid w:val="00A71602"/>
    <w:rsid w:val="00A72552"/>
    <w:rsid w:val="00A7277F"/>
    <w:rsid w:val="00A72D95"/>
    <w:rsid w:val="00A7315B"/>
    <w:rsid w:val="00A734B5"/>
    <w:rsid w:val="00A749B8"/>
    <w:rsid w:val="00A74B4B"/>
    <w:rsid w:val="00A74D02"/>
    <w:rsid w:val="00A74F7F"/>
    <w:rsid w:val="00A75868"/>
    <w:rsid w:val="00A75DBD"/>
    <w:rsid w:val="00A76ED7"/>
    <w:rsid w:val="00A773AE"/>
    <w:rsid w:val="00A81767"/>
    <w:rsid w:val="00A81C28"/>
    <w:rsid w:val="00A824C3"/>
    <w:rsid w:val="00A826DA"/>
    <w:rsid w:val="00A83AA7"/>
    <w:rsid w:val="00A849E7"/>
    <w:rsid w:val="00A84ADF"/>
    <w:rsid w:val="00A84FDF"/>
    <w:rsid w:val="00A861AF"/>
    <w:rsid w:val="00A8670D"/>
    <w:rsid w:val="00A86844"/>
    <w:rsid w:val="00A87097"/>
    <w:rsid w:val="00A870DA"/>
    <w:rsid w:val="00A8729E"/>
    <w:rsid w:val="00A8749E"/>
    <w:rsid w:val="00A87947"/>
    <w:rsid w:val="00A879EE"/>
    <w:rsid w:val="00A911F9"/>
    <w:rsid w:val="00A9145C"/>
    <w:rsid w:val="00A91A7F"/>
    <w:rsid w:val="00A924AD"/>
    <w:rsid w:val="00A92563"/>
    <w:rsid w:val="00A925C6"/>
    <w:rsid w:val="00A92DB9"/>
    <w:rsid w:val="00A931EF"/>
    <w:rsid w:val="00A9383A"/>
    <w:rsid w:val="00A93A63"/>
    <w:rsid w:val="00A93DA8"/>
    <w:rsid w:val="00A954E0"/>
    <w:rsid w:val="00A95F06"/>
    <w:rsid w:val="00A96D1E"/>
    <w:rsid w:val="00A974C7"/>
    <w:rsid w:val="00AA07F6"/>
    <w:rsid w:val="00AA2C38"/>
    <w:rsid w:val="00AA2CB3"/>
    <w:rsid w:val="00AA4431"/>
    <w:rsid w:val="00AA4AE0"/>
    <w:rsid w:val="00AA4AEB"/>
    <w:rsid w:val="00AA58CF"/>
    <w:rsid w:val="00AA59E7"/>
    <w:rsid w:val="00AA754C"/>
    <w:rsid w:val="00AA755C"/>
    <w:rsid w:val="00AA767D"/>
    <w:rsid w:val="00AA787D"/>
    <w:rsid w:val="00AA7907"/>
    <w:rsid w:val="00AA7952"/>
    <w:rsid w:val="00AA7F69"/>
    <w:rsid w:val="00AB02EB"/>
    <w:rsid w:val="00AB03A9"/>
    <w:rsid w:val="00AB03F7"/>
    <w:rsid w:val="00AB0550"/>
    <w:rsid w:val="00AB0974"/>
    <w:rsid w:val="00AB0AB4"/>
    <w:rsid w:val="00AB12FC"/>
    <w:rsid w:val="00AB2036"/>
    <w:rsid w:val="00AB2FAD"/>
    <w:rsid w:val="00AB2FB2"/>
    <w:rsid w:val="00AB394F"/>
    <w:rsid w:val="00AB4D80"/>
    <w:rsid w:val="00AB6B40"/>
    <w:rsid w:val="00AC17DE"/>
    <w:rsid w:val="00AC1E05"/>
    <w:rsid w:val="00AC2101"/>
    <w:rsid w:val="00AC26E4"/>
    <w:rsid w:val="00AC2E43"/>
    <w:rsid w:val="00AC31F4"/>
    <w:rsid w:val="00AC3917"/>
    <w:rsid w:val="00AC4AC4"/>
    <w:rsid w:val="00AC55A3"/>
    <w:rsid w:val="00AC6152"/>
    <w:rsid w:val="00AC6640"/>
    <w:rsid w:val="00AC6681"/>
    <w:rsid w:val="00AC69AA"/>
    <w:rsid w:val="00AC7862"/>
    <w:rsid w:val="00AC7A97"/>
    <w:rsid w:val="00AD01A3"/>
    <w:rsid w:val="00AD0566"/>
    <w:rsid w:val="00AD0EE6"/>
    <w:rsid w:val="00AD1CCC"/>
    <w:rsid w:val="00AD2DF4"/>
    <w:rsid w:val="00AD370C"/>
    <w:rsid w:val="00AD3762"/>
    <w:rsid w:val="00AD470A"/>
    <w:rsid w:val="00AD49F4"/>
    <w:rsid w:val="00AD5112"/>
    <w:rsid w:val="00AD51FA"/>
    <w:rsid w:val="00AD5699"/>
    <w:rsid w:val="00AD5726"/>
    <w:rsid w:val="00AD5890"/>
    <w:rsid w:val="00AD5F7F"/>
    <w:rsid w:val="00AD63D8"/>
    <w:rsid w:val="00AD6853"/>
    <w:rsid w:val="00AD73AE"/>
    <w:rsid w:val="00AD767C"/>
    <w:rsid w:val="00AE0152"/>
    <w:rsid w:val="00AE0564"/>
    <w:rsid w:val="00AE0ACE"/>
    <w:rsid w:val="00AE250B"/>
    <w:rsid w:val="00AE30C1"/>
    <w:rsid w:val="00AE35FE"/>
    <w:rsid w:val="00AE3828"/>
    <w:rsid w:val="00AE506B"/>
    <w:rsid w:val="00AE62CC"/>
    <w:rsid w:val="00AE6422"/>
    <w:rsid w:val="00AE6448"/>
    <w:rsid w:val="00AE65B6"/>
    <w:rsid w:val="00AE71B1"/>
    <w:rsid w:val="00AE7740"/>
    <w:rsid w:val="00AE7E0D"/>
    <w:rsid w:val="00AF0301"/>
    <w:rsid w:val="00AF0305"/>
    <w:rsid w:val="00AF1326"/>
    <w:rsid w:val="00AF175C"/>
    <w:rsid w:val="00AF1A70"/>
    <w:rsid w:val="00AF2B64"/>
    <w:rsid w:val="00AF4C67"/>
    <w:rsid w:val="00AF6069"/>
    <w:rsid w:val="00AF690C"/>
    <w:rsid w:val="00AF6C1F"/>
    <w:rsid w:val="00B0094C"/>
    <w:rsid w:val="00B00B8D"/>
    <w:rsid w:val="00B00B9F"/>
    <w:rsid w:val="00B0235B"/>
    <w:rsid w:val="00B02758"/>
    <w:rsid w:val="00B034EE"/>
    <w:rsid w:val="00B03AF8"/>
    <w:rsid w:val="00B03DFE"/>
    <w:rsid w:val="00B05B75"/>
    <w:rsid w:val="00B05C25"/>
    <w:rsid w:val="00B06B54"/>
    <w:rsid w:val="00B06E1E"/>
    <w:rsid w:val="00B07824"/>
    <w:rsid w:val="00B07965"/>
    <w:rsid w:val="00B07F76"/>
    <w:rsid w:val="00B1095A"/>
    <w:rsid w:val="00B11003"/>
    <w:rsid w:val="00B11C5E"/>
    <w:rsid w:val="00B124F5"/>
    <w:rsid w:val="00B126D9"/>
    <w:rsid w:val="00B141F6"/>
    <w:rsid w:val="00B14282"/>
    <w:rsid w:val="00B14943"/>
    <w:rsid w:val="00B15100"/>
    <w:rsid w:val="00B15A72"/>
    <w:rsid w:val="00B16E20"/>
    <w:rsid w:val="00B16FC8"/>
    <w:rsid w:val="00B21C81"/>
    <w:rsid w:val="00B2204F"/>
    <w:rsid w:val="00B2245A"/>
    <w:rsid w:val="00B229CC"/>
    <w:rsid w:val="00B22A98"/>
    <w:rsid w:val="00B23C38"/>
    <w:rsid w:val="00B23E6D"/>
    <w:rsid w:val="00B2669E"/>
    <w:rsid w:val="00B27285"/>
    <w:rsid w:val="00B27C47"/>
    <w:rsid w:val="00B3002D"/>
    <w:rsid w:val="00B308A1"/>
    <w:rsid w:val="00B320CA"/>
    <w:rsid w:val="00B32CE2"/>
    <w:rsid w:val="00B32D0C"/>
    <w:rsid w:val="00B356C0"/>
    <w:rsid w:val="00B35AE5"/>
    <w:rsid w:val="00B363AE"/>
    <w:rsid w:val="00B3665D"/>
    <w:rsid w:val="00B36C87"/>
    <w:rsid w:val="00B3701B"/>
    <w:rsid w:val="00B376A6"/>
    <w:rsid w:val="00B407BE"/>
    <w:rsid w:val="00B40BC2"/>
    <w:rsid w:val="00B410A7"/>
    <w:rsid w:val="00B42303"/>
    <w:rsid w:val="00B42A7C"/>
    <w:rsid w:val="00B42F10"/>
    <w:rsid w:val="00B4326C"/>
    <w:rsid w:val="00B43591"/>
    <w:rsid w:val="00B436A1"/>
    <w:rsid w:val="00B43929"/>
    <w:rsid w:val="00B44799"/>
    <w:rsid w:val="00B459A4"/>
    <w:rsid w:val="00B45EB8"/>
    <w:rsid w:val="00B46B49"/>
    <w:rsid w:val="00B471DA"/>
    <w:rsid w:val="00B50EEB"/>
    <w:rsid w:val="00B512C1"/>
    <w:rsid w:val="00B5186E"/>
    <w:rsid w:val="00B51CCB"/>
    <w:rsid w:val="00B53964"/>
    <w:rsid w:val="00B53CBB"/>
    <w:rsid w:val="00B54C20"/>
    <w:rsid w:val="00B5502A"/>
    <w:rsid w:val="00B56C78"/>
    <w:rsid w:val="00B56F49"/>
    <w:rsid w:val="00B57854"/>
    <w:rsid w:val="00B57BCD"/>
    <w:rsid w:val="00B57DE4"/>
    <w:rsid w:val="00B57E21"/>
    <w:rsid w:val="00B603A6"/>
    <w:rsid w:val="00B61105"/>
    <w:rsid w:val="00B616D8"/>
    <w:rsid w:val="00B62683"/>
    <w:rsid w:val="00B62739"/>
    <w:rsid w:val="00B62F89"/>
    <w:rsid w:val="00B6335A"/>
    <w:rsid w:val="00B6427D"/>
    <w:rsid w:val="00B66542"/>
    <w:rsid w:val="00B669F4"/>
    <w:rsid w:val="00B67258"/>
    <w:rsid w:val="00B67D5C"/>
    <w:rsid w:val="00B70AEF"/>
    <w:rsid w:val="00B70D7D"/>
    <w:rsid w:val="00B72649"/>
    <w:rsid w:val="00B73DF4"/>
    <w:rsid w:val="00B759B2"/>
    <w:rsid w:val="00B75AF5"/>
    <w:rsid w:val="00B75D81"/>
    <w:rsid w:val="00B764CF"/>
    <w:rsid w:val="00B76797"/>
    <w:rsid w:val="00B76A14"/>
    <w:rsid w:val="00B76E92"/>
    <w:rsid w:val="00B773BA"/>
    <w:rsid w:val="00B77B4E"/>
    <w:rsid w:val="00B77F80"/>
    <w:rsid w:val="00B77FBE"/>
    <w:rsid w:val="00B8056A"/>
    <w:rsid w:val="00B81331"/>
    <w:rsid w:val="00B81561"/>
    <w:rsid w:val="00B829EC"/>
    <w:rsid w:val="00B82CDD"/>
    <w:rsid w:val="00B82F7A"/>
    <w:rsid w:val="00B85C6D"/>
    <w:rsid w:val="00B87E35"/>
    <w:rsid w:val="00B902D7"/>
    <w:rsid w:val="00B905E6"/>
    <w:rsid w:val="00B90CF9"/>
    <w:rsid w:val="00B91AFE"/>
    <w:rsid w:val="00B92495"/>
    <w:rsid w:val="00B9401B"/>
    <w:rsid w:val="00B94892"/>
    <w:rsid w:val="00B94EFE"/>
    <w:rsid w:val="00B95011"/>
    <w:rsid w:val="00B97163"/>
    <w:rsid w:val="00B97517"/>
    <w:rsid w:val="00BA1082"/>
    <w:rsid w:val="00BA1F7B"/>
    <w:rsid w:val="00BA20CD"/>
    <w:rsid w:val="00BA2614"/>
    <w:rsid w:val="00BA291D"/>
    <w:rsid w:val="00BA3C6B"/>
    <w:rsid w:val="00BA459F"/>
    <w:rsid w:val="00BA57AB"/>
    <w:rsid w:val="00BA58B0"/>
    <w:rsid w:val="00BA596E"/>
    <w:rsid w:val="00BA668C"/>
    <w:rsid w:val="00BA66E6"/>
    <w:rsid w:val="00BA6B01"/>
    <w:rsid w:val="00BA7B87"/>
    <w:rsid w:val="00BA7B89"/>
    <w:rsid w:val="00BB0138"/>
    <w:rsid w:val="00BB02E7"/>
    <w:rsid w:val="00BB0357"/>
    <w:rsid w:val="00BB06EB"/>
    <w:rsid w:val="00BB0F8A"/>
    <w:rsid w:val="00BB1A4A"/>
    <w:rsid w:val="00BB1B02"/>
    <w:rsid w:val="00BB1DD4"/>
    <w:rsid w:val="00BB21B4"/>
    <w:rsid w:val="00BB2A0E"/>
    <w:rsid w:val="00BB33DD"/>
    <w:rsid w:val="00BB3BF2"/>
    <w:rsid w:val="00BB4286"/>
    <w:rsid w:val="00BB54D6"/>
    <w:rsid w:val="00BB5CD3"/>
    <w:rsid w:val="00BB6489"/>
    <w:rsid w:val="00BB6866"/>
    <w:rsid w:val="00BB68E1"/>
    <w:rsid w:val="00BB6922"/>
    <w:rsid w:val="00BB700E"/>
    <w:rsid w:val="00BB74EB"/>
    <w:rsid w:val="00BB7806"/>
    <w:rsid w:val="00BC006D"/>
    <w:rsid w:val="00BC0260"/>
    <w:rsid w:val="00BC086C"/>
    <w:rsid w:val="00BC0A43"/>
    <w:rsid w:val="00BC1DBF"/>
    <w:rsid w:val="00BC3037"/>
    <w:rsid w:val="00BC407A"/>
    <w:rsid w:val="00BC447F"/>
    <w:rsid w:val="00BC4B8C"/>
    <w:rsid w:val="00BC4C41"/>
    <w:rsid w:val="00BC51A5"/>
    <w:rsid w:val="00BC5284"/>
    <w:rsid w:val="00BC7251"/>
    <w:rsid w:val="00BC7286"/>
    <w:rsid w:val="00BC733E"/>
    <w:rsid w:val="00BC7B9F"/>
    <w:rsid w:val="00BD03B8"/>
    <w:rsid w:val="00BD1A3A"/>
    <w:rsid w:val="00BD1F5F"/>
    <w:rsid w:val="00BD2651"/>
    <w:rsid w:val="00BD4355"/>
    <w:rsid w:val="00BD4739"/>
    <w:rsid w:val="00BD4C98"/>
    <w:rsid w:val="00BD5ECE"/>
    <w:rsid w:val="00BD7021"/>
    <w:rsid w:val="00BE0261"/>
    <w:rsid w:val="00BE0EF4"/>
    <w:rsid w:val="00BE0FC7"/>
    <w:rsid w:val="00BE1162"/>
    <w:rsid w:val="00BE11C9"/>
    <w:rsid w:val="00BE13A6"/>
    <w:rsid w:val="00BE14C5"/>
    <w:rsid w:val="00BE1E66"/>
    <w:rsid w:val="00BE3841"/>
    <w:rsid w:val="00BE4533"/>
    <w:rsid w:val="00BE4D13"/>
    <w:rsid w:val="00BE4F03"/>
    <w:rsid w:val="00BE601B"/>
    <w:rsid w:val="00BE6B26"/>
    <w:rsid w:val="00BE716E"/>
    <w:rsid w:val="00BE71F9"/>
    <w:rsid w:val="00BE742E"/>
    <w:rsid w:val="00BF0598"/>
    <w:rsid w:val="00BF0860"/>
    <w:rsid w:val="00BF0B9E"/>
    <w:rsid w:val="00BF1834"/>
    <w:rsid w:val="00BF2CD7"/>
    <w:rsid w:val="00BF30A4"/>
    <w:rsid w:val="00BF3B60"/>
    <w:rsid w:val="00BF4F00"/>
    <w:rsid w:val="00BF5C7E"/>
    <w:rsid w:val="00BF6B9A"/>
    <w:rsid w:val="00BF721C"/>
    <w:rsid w:val="00C00578"/>
    <w:rsid w:val="00C00A66"/>
    <w:rsid w:val="00C00B62"/>
    <w:rsid w:val="00C02AF3"/>
    <w:rsid w:val="00C039AD"/>
    <w:rsid w:val="00C0425C"/>
    <w:rsid w:val="00C04E7A"/>
    <w:rsid w:val="00C053C1"/>
    <w:rsid w:val="00C1076E"/>
    <w:rsid w:val="00C119FC"/>
    <w:rsid w:val="00C11A48"/>
    <w:rsid w:val="00C12AF3"/>
    <w:rsid w:val="00C14118"/>
    <w:rsid w:val="00C14950"/>
    <w:rsid w:val="00C14FC5"/>
    <w:rsid w:val="00C1676E"/>
    <w:rsid w:val="00C20F96"/>
    <w:rsid w:val="00C214A3"/>
    <w:rsid w:val="00C220C3"/>
    <w:rsid w:val="00C2257E"/>
    <w:rsid w:val="00C225CC"/>
    <w:rsid w:val="00C22724"/>
    <w:rsid w:val="00C23202"/>
    <w:rsid w:val="00C23858"/>
    <w:rsid w:val="00C24185"/>
    <w:rsid w:val="00C25DC4"/>
    <w:rsid w:val="00C26782"/>
    <w:rsid w:val="00C267F9"/>
    <w:rsid w:val="00C26982"/>
    <w:rsid w:val="00C270FB"/>
    <w:rsid w:val="00C27113"/>
    <w:rsid w:val="00C307D3"/>
    <w:rsid w:val="00C30B73"/>
    <w:rsid w:val="00C3184A"/>
    <w:rsid w:val="00C31DAE"/>
    <w:rsid w:val="00C34014"/>
    <w:rsid w:val="00C3527B"/>
    <w:rsid w:val="00C36814"/>
    <w:rsid w:val="00C36B67"/>
    <w:rsid w:val="00C36D61"/>
    <w:rsid w:val="00C37975"/>
    <w:rsid w:val="00C40AAE"/>
    <w:rsid w:val="00C40B80"/>
    <w:rsid w:val="00C40BCC"/>
    <w:rsid w:val="00C4108A"/>
    <w:rsid w:val="00C42722"/>
    <w:rsid w:val="00C42C32"/>
    <w:rsid w:val="00C42E7D"/>
    <w:rsid w:val="00C44032"/>
    <w:rsid w:val="00C443B8"/>
    <w:rsid w:val="00C44537"/>
    <w:rsid w:val="00C462DA"/>
    <w:rsid w:val="00C47C20"/>
    <w:rsid w:val="00C47EC2"/>
    <w:rsid w:val="00C47F52"/>
    <w:rsid w:val="00C519E5"/>
    <w:rsid w:val="00C51FCA"/>
    <w:rsid w:val="00C520E1"/>
    <w:rsid w:val="00C52D4A"/>
    <w:rsid w:val="00C530ED"/>
    <w:rsid w:val="00C538F3"/>
    <w:rsid w:val="00C53FD8"/>
    <w:rsid w:val="00C54F7B"/>
    <w:rsid w:val="00C5540D"/>
    <w:rsid w:val="00C56103"/>
    <w:rsid w:val="00C56175"/>
    <w:rsid w:val="00C563C1"/>
    <w:rsid w:val="00C5685A"/>
    <w:rsid w:val="00C61138"/>
    <w:rsid w:val="00C625A5"/>
    <w:rsid w:val="00C62691"/>
    <w:rsid w:val="00C64042"/>
    <w:rsid w:val="00C642A4"/>
    <w:rsid w:val="00C64BB7"/>
    <w:rsid w:val="00C66BA0"/>
    <w:rsid w:val="00C66EAD"/>
    <w:rsid w:val="00C7091D"/>
    <w:rsid w:val="00C70AB2"/>
    <w:rsid w:val="00C72147"/>
    <w:rsid w:val="00C7246A"/>
    <w:rsid w:val="00C72F31"/>
    <w:rsid w:val="00C730AC"/>
    <w:rsid w:val="00C732FF"/>
    <w:rsid w:val="00C736DB"/>
    <w:rsid w:val="00C74DD5"/>
    <w:rsid w:val="00C74EBE"/>
    <w:rsid w:val="00C75673"/>
    <w:rsid w:val="00C756D0"/>
    <w:rsid w:val="00C757E5"/>
    <w:rsid w:val="00C75E30"/>
    <w:rsid w:val="00C75F36"/>
    <w:rsid w:val="00C75FC4"/>
    <w:rsid w:val="00C76457"/>
    <w:rsid w:val="00C7673F"/>
    <w:rsid w:val="00C76964"/>
    <w:rsid w:val="00C76A69"/>
    <w:rsid w:val="00C77BCF"/>
    <w:rsid w:val="00C80C01"/>
    <w:rsid w:val="00C80D60"/>
    <w:rsid w:val="00C838A9"/>
    <w:rsid w:val="00C83991"/>
    <w:rsid w:val="00C8487A"/>
    <w:rsid w:val="00C86F84"/>
    <w:rsid w:val="00C903B5"/>
    <w:rsid w:val="00C90C26"/>
    <w:rsid w:val="00C90DE6"/>
    <w:rsid w:val="00C90F44"/>
    <w:rsid w:val="00C91553"/>
    <w:rsid w:val="00C9240B"/>
    <w:rsid w:val="00C929A7"/>
    <w:rsid w:val="00C92BDC"/>
    <w:rsid w:val="00C940C4"/>
    <w:rsid w:val="00C94668"/>
    <w:rsid w:val="00C9488F"/>
    <w:rsid w:val="00C9513A"/>
    <w:rsid w:val="00C955A4"/>
    <w:rsid w:val="00C95901"/>
    <w:rsid w:val="00C959A0"/>
    <w:rsid w:val="00C96512"/>
    <w:rsid w:val="00C96642"/>
    <w:rsid w:val="00C96BFD"/>
    <w:rsid w:val="00C9761F"/>
    <w:rsid w:val="00C97F60"/>
    <w:rsid w:val="00CA05B1"/>
    <w:rsid w:val="00CA1A2B"/>
    <w:rsid w:val="00CA2233"/>
    <w:rsid w:val="00CA288D"/>
    <w:rsid w:val="00CA36B5"/>
    <w:rsid w:val="00CA3DFB"/>
    <w:rsid w:val="00CA4A00"/>
    <w:rsid w:val="00CA4E32"/>
    <w:rsid w:val="00CA5CB2"/>
    <w:rsid w:val="00CA643A"/>
    <w:rsid w:val="00CA65EC"/>
    <w:rsid w:val="00CA758E"/>
    <w:rsid w:val="00CA7B4B"/>
    <w:rsid w:val="00CA7DCA"/>
    <w:rsid w:val="00CB10A4"/>
    <w:rsid w:val="00CB138A"/>
    <w:rsid w:val="00CB1C99"/>
    <w:rsid w:val="00CB1FB2"/>
    <w:rsid w:val="00CB2055"/>
    <w:rsid w:val="00CB329C"/>
    <w:rsid w:val="00CB3489"/>
    <w:rsid w:val="00CB3939"/>
    <w:rsid w:val="00CB396C"/>
    <w:rsid w:val="00CB3ABF"/>
    <w:rsid w:val="00CB3F65"/>
    <w:rsid w:val="00CB4088"/>
    <w:rsid w:val="00CB5647"/>
    <w:rsid w:val="00CB62A4"/>
    <w:rsid w:val="00CB6B80"/>
    <w:rsid w:val="00CB7165"/>
    <w:rsid w:val="00CB73C3"/>
    <w:rsid w:val="00CB7603"/>
    <w:rsid w:val="00CB7CE1"/>
    <w:rsid w:val="00CC0602"/>
    <w:rsid w:val="00CC07FA"/>
    <w:rsid w:val="00CC0A51"/>
    <w:rsid w:val="00CC0C2E"/>
    <w:rsid w:val="00CC0FEB"/>
    <w:rsid w:val="00CC15CB"/>
    <w:rsid w:val="00CC1D52"/>
    <w:rsid w:val="00CC2245"/>
    <w:rsid w:val="00CC25DA"/>
    <w:rsid w:val="00CC28E8"/>
    <w:rsid w:val="00CC3934"/>
    <w:rsid w:val="00CC3EEE"/>
    <w:rsid w:val="00CC4F35"/>
    <w:rsid w:val="00CC5FC2"/>
    <w:rsid w:val="00CC6861"/>
    <w:rsid w:val="00CD0396"/>
    <w:rsid w:val="00CD1548"/>
    <w:rsid w:val="00CD17C4"/>
    <w:rsid w:val="00CD28D1"/>
    <w:rsid w:val="00CD3243"/>
    <w:rsid w:val="00CD3D8B"/>
    <w:rsid w:val="00CD564E"/>
    <w:rsid w:val="00CD56CF"/>
    <w:rsid w:val="00CD7815"/>
    <w:rsid w:val="00CD7B07"/>
    <w:rsid w:val="00CE05D6"/>
    <w:rsid w:val="00CE14A1"/>
    <w:rsid w:val="00CE2286"/>
    <w:rsid w:val="00CE2493"/>
    <w:rsid w:val="00CE2E61"/>
    <w:rsid w:val="00CE390F"/>
    <w:rsid w:val="00CE3996"/>
    <w:rsid w:val="00CE3CFA"/>
    <w:rsid w:val="00CE45AE"/>
    <w:rsid w:val="00CE4910"/>
    <w:rsid w:val="00CE5275"/>
    <w:rsid w:val="00CE578C"/>
    <w:rsid w:val="00CE613A"/>
    <w:rsid w:val="00CE7C32"/>
    <w:rsid w:val="00CE7F6F"/>
    <w:rsid w:val="00CF1B77"/>
    <w:rsid w:val="00CF229B"/>
    <w:rsid w:val="00CF28FE"/>
    <w:rsid w:val="00CF2C63"/>
    <w:rsid w:val="00CF306E"/>
    <w:rsid w:val="00CF3273"/>
    <w:rsid w:val="00CF4393"/>
    <w:rsid w:val="00CF4506"/>
    <w:rsid w:val="00CF47FA"/>
    <w:rsid w:val="00CF59FA"/>
    <w:rsid w:val="00CF5AC7"/>
    <w:rsid w:val="00CF60E5"/>
    <w:rsid w:val="00CF625E"/>
    <w:rsid w:val="00CF6E64"/>
    <w:rsid w:val="00CF7070"/>
    <w:rsid w:val="00D004ED"/>
    <w:rsid w:val="00D00FAE"/>
    <w:rsid w:val="00D02678"/>
    <w:rsid w:val="00D02811"/>
    <w:rsid w:val="00D02A8A"/>
    <w:rsid w:val="00D03196"/>
    <w:rsid w:val="00D039E6"/>
    <w:rsid w:val="00D03F29"/>
    <w:rsid w:val="00D03F54"/>
    <w:rsid w:val="00D041AE"/>
    <w:rsid w:val="00D04AA5"/>
    <w:rsid w:val="00D05D6A"/>
    <w:rsid w:val="00D065E0"/>
    <w:rsid w:val="00D06EF9"/>
    <w:rsid w:val="00D07256"/>
    <w:rsid w:val="00D10689"/>
    <w:rsid w:val="00D11473"/>
    <w:rsid w:val="00D11DD1"/>
    <w:rsid w:val="00D11EFB"/>
    <w:rsid w:val="00D12175"/>
    <w:rsid w:val="00D12532"/>
    <w:rsid w:val="00D12AA0"/>
    <w:rsid w:val="00D1444E"/>
    <w:rsid w:val="00D151D4"/>
    <w:rsid w:val="00D152E1"/>
    <w:rsid w:val="00D155A9"/>
    <w:rsid w:val="00D15AEB"/>
    <w:rsid w:val="00D1645B"/>
    <w:rsid w:val="00D1700C"/>
    <w:rsid w:val="00D2123E"/>
    <w:rsid w:val="00D21F29"/>
    <w:rsid w:val="00D22D75"/>
    <w:rsid w:val="00D235CC"/>
    <w:rsid w:val="00D24714"/>
    <w:rsid w:val="00D24F6B"/>
    <w:rsid w:val="00D25A2B"/>
    <w:rsid w:val="00D25DD6"/>
    <w:rsid w:val="00D2756F"/>
    <w:rsid w:val="00D27B44"/>
    <w:rsid w:val="00D27DA9"/>
    <w:rsid w:val="00D3058E"/>
    <w:rsid w:val="00D311A7"/>
    <w:rsid w:val="00D32D19"/>
    <w:rsid w:val="00D3323C"/>
    <w:rsid w:val="00D334A9"/>
    <w:rsid w:val="00D33E3A"/>
    <w:rsid w:val="00D34095"/>
    <w:rsid w:val="00D343B5"/>
    <w:rsid w:val="00D345E9"/>
    <w:rsid w:val="00D34E38"/>
    <w:rsid w:val="00D35D2F"/>
    <w:rsid w:val="00D35E37"/>
    <w:rsid w:val="00D36C6A"/>
    <w:rsid w:val="00D36CBB"/>
    <w:rsid w:val="00D40A60"/>
    <w:rsid w:val="00D424C7"/>
    <w:rsid w:val="00D42603"/>
    <w:rsid w:val="00D42687"/>
    <w:rsid w:val="00D42991"/>
    <w:rsid w:val="00D42A51"/>
    <w:rsid w:val="00D43991"/>
    <w:rsid w:val="00D44475"/>
    <w:rsid w:val="00D44E25"/>
    <w:rsid w:val="00D45B20"/>
    <w:rsid w:val="00D45D16"/>
    <w:rsid w:val="00D46609"/>
    <w:rsid w:val="00D4671F"/>
    <w:rsid w:val="00D46969"/>
    <w:rsid w:val="00D46B29"/>
    <w:rsid w:val="00D479C7"/>
    <w:rsid w:val="00D47A9C"/>
    <w:rsid w:val="00D47D4E"/>
    <w:rsid w:val="00D508F8"/>
    <w:rsid w:val="00D52278"/>
    <w:rsid w:val="00D522D7"/>
    <w:rsid w:val="00D54BE7"/>
    <w:rsid w:val="00D54F35"/>
    <w:rsid w:val="00D57D96"/>
    <w:rsid w:val="00D617C4"/>
    <w:rsid w:val="00D61B32"/>
    <w:rsid w:val="00D61BF2"/>
    <w:rsid w:val="00D62207"/>
    <w:rsid w:val="00D64DE8"/>
    <w:rsid w:val="00D6534D"/>
    <w:rsid w:val="00D657FC"/>
    <w:rsid w:val="00D66329"/>
    <w:rsid w:val="00D67083"/>
    <w:rsid w:val="00D703B8"/>
    <w:rsid w:val="00D70589"/>
    <w:rsid w:val="00D71044"/>
    <w:rsid w:val="00D719A5"/>
    <w:rsid w:val="00D7247D"/>
    <w:rsid w:val="00D7274D"/>
    <w:rsid w:val="00D72824"/>
    <w:rsid w:val="00D74936"/>
    <w:rsid w:val="00D75056"/>
    <w:rsid w:val="00D75BA7"/>
    <w:rsid w:val="00D761BF"/>
    <w:rsid w:val="00D762ED"/>
    <w:rsid w:val="00D7732E"/>
    <w:rsid w:val="00D77EE9"/>
    <w:rsid w:val="00D80370"/>
    <w:rsid w:val="00D80BCF"/>
    <w:rsid w:val="00D82A82"/>
    <w:rsid w:val="00D82BBF"/>
    <w:rsid w:val="00D85F9C"/>
    <w:rsid w:val="00D8766E"/>
    <w:rsid w:val="00D90752"/>
    <w:rsid w:val="00D90FCE"/>
    <w:rsid w:val="00D938A7"/>
    <w:rsid w:val="00D93BF7"/>
    <w:rsid w:val="00D95355"/>
    <w:rsid w:val="00D9705B"/>
    <w:rsid w:val="00D977F0"/>
    <w:rsid w:val="00D97F5B"/>
    <w:rsid w:val="00DA247F"/>
    <w:rsid w:val="00DA3049"/>
    <w:rsid w:val="00DA4090"/>
    <w:rsid w:val="00DA4D95"/>
    <w:rsid w:val="00DA54C5"/>
    <w:rsid w:val="00DA5507"/>
    <w:rsid w:val="00DB0515"/>
    <w:rsid w:val="00DB1A08"/>
    <w:rsid w:val="00DB2079"/>
    <w:rsid w:val="00DB3A97"/>
    <w:rsid w:val="00DB3DF7"/>
    <w:rsid w:val="00DB42C6"/>
    <w:rsid w:val="00DB5060"/>
    <w:rsid w:val="00DB53DC"/>
    <w:rsid w:val="00DB5AAB"/>
    <w:rsid w:val="00DB5C54"/>
    <w:rsid w:val="00DB5FC5"/>
    <w:rsid w:val="00DB6EB5"/>
    <w:rsid w:val="00DB7243"/>
    <w:rsid w:val="00DB7773"/>
    <w:rsid w:val="00DC048A"/>
    <w:rsid w:val="00DC0ADA"/>
    <w:rsid w:val="00DC209C"/>
    <w:rsid w:val="00DC271F"/>
    <w:rsid w:val="00DC2819"/>
    <w:rsid w:val="00DC2F9E"/>
    <w:rsid w:val="00DC3DE1"/>
    <w:rsid w:val="00DC4649"/>
    <w:rsid w:val="00DC4D47"/>
    <w:rsid w:val="00DC4F9E"/>
    <w:rsid w:val="00DC5060"/>
    <w:rsid w:val="00DC5E24"/>
    <w:rsid w:val="00DC7677"/>
    <w:rsid w:val="00DD0976"/>
    <w:rsid w:val="00DD1831"/>
    <w:rsid w:val="00DD2D91"/>
    <w:rsid w:val="00DD310D"/>
    <w:rsid w:val="00DD3585"/>
    <w:rsid w:val="00DD42BF"/>
    <w:rsid w:val="00DD49E2"/>
    <w:rsid w:val="00DD5BED"/>
    <w:rsid w:val="00DD5CDC"/>
    <w:rsid w:val="00DD67BC"/>
    <w:rsid w:val="00DD79B9"/>
    <w:rsid w:val="00DE064D"/>
    <w:rsid w:val="00DE095B"/>
    <w:rsid w:val="00DE0AB3"/>
    <w:rsid w:val="00DE139A"/>
    <w:rsid w:val="00DE141A"/>
    <w:rsid w:val="00DE1C92"/>
    <w:rsid w:val="00DE1ECD"/>
    <w:rsid w:val="00DE2844"/>
    <w:rsid w:val="00DE2A83"/>
    <w:rsid w:val="00DE2A95"/>
    <w:rsid w:val="00DE3314"/>
    <w:rsid w:val="00DE4CE0"/>
    <w:rsid w:val="00DE6DB9"/>
    <w:rsid w:val="00DE6FC4"/>
    <w:rsid w:val="00DE7003"/>
    <w:rsid w:val="00DE7083"/>
    <w:rsid w:val="00DE763A"/>
    <w:rsid w:val="00DE7AF3"/>
    <w:rsid w:val="00DF0232"/>
    <w:rsid w:val="00DF07B3"/>
    <w:rsid w:val="00DF22D7"/>
    <w:rsid w:val="00DF293C"/>
    <w:rsid w:val="00DF34EB"/>
    <w:rsid w:val="00DF37B9"/>
    <w:rsid w:val="00DF4EF2"/>
    <w:rsid w:val="00DF5B63"/>
    <w:rsid w:val="00DF7050"/>
    <w:rsid w:val="00DF7ED4"/>
    <w:rsid w:val="00E021B0"/>
    <w:rsid w:val="00E022B7"/>
    <w:rsid w:val="00E0353D"/>
    <w:rsid w:val="00E04C16"/>
    <w:rsid w:val="00E054F1"/>
    <w:rsid w:val="00E056A6"/>
    <w:rsid w:val="00E060CE"/>
    <w:rsid w:val="00E061E9"/>
    <w:rsid w:val="00E100EC"/>
    <w:rsid w:val="00E119D9"/>
    <w:rsid w:val="00E141E6"/>
    <w:rsid w:val="00E1467B"/>
    <w:rsid w:val="00E1529F"/>
    <w:rsid w:val="00E1581D"/>
    <w:rsid w:val="00E15B91"/>
    <w:rsid w:val="00E15E91"/>
    <w:rsid w:val="00E17274"/>
    <w:rsid w:val="00E17BC7"/>
    <w:rsid w:val="00E20163"/>
    <w:rsid w:val="00E205FB"/>
    <w:rsid w:val="00E20D69"/>
    <w:rsid w:val="00E20DA0"/>
    <w:rsid w:val="00E225F2"/>
    <w:rsid w:val="00E22A14"/>
    <w:rsid w:val="00E22E13"/>
    <w:rsid w:val="00E23CF1"/>
    <w:rsid w:val="00E24974"/>
    <w:rsid w:val="00E249ED"/>
    <w:rsid w:val="00E250D1"/>
    <w:rsid w:val="00E25646"/>
    <w:rsid w:val="00E25AE4"/>
    <w:rsid w:val="00E25DD0"/>
    <w:rsid w:val="00E25F2D"/>
    <w:rsid w:val="00E260D3"/>
    <w:rsid w:val="00E27E5B"/>
    <w:rsid w:val="00E3102F"/>
    <w:rsid w:val="00E31137"/>
    <w:rsid w:val="00E31424"/>
    <w:rsid w:val="00E3239E"/>
    <w:rsid w:val="00E3242F"/>
    <w:rsid w:val="00E339B6"/>
    <w:rsid w:val="00E33A58"/>
    <w:rsid w:val="00E344DF"/>
    <w:rsid w:val="00E35F96"/>
    <w:rsid w:val="00E3683F"/>
    <w:rsid w:val="00E36918"/>
    <w:rsid w:val="00E36D40"/>
    <w:rsid w:val="00E36D60"/>
    <w:rsid w:val="00E37BF9"/>
    <w:rsid w:val="00E40786"/>
    <w:rsid w:val="00E425DA"/>
    <w:rsid w:val="00E425E4"/>
    <w:rsid w:val="00E45F16"/>
    <w:rsid w:val="00E4600C"/>
    <w:rsid w:val="00E471BA"/>
    <w:rsid w:val="00E52259"/>
    <w:rsid w:val="00E522F5"/>
    <w:rsid w:val="00E523EF"/>
    <w:rsid w:val="00E53C19"/>
    <w:rsid w:val="00E55044"/>
    <w:rsid w:val="00E550EC"/>
    <w:rsid w:val="00E55B8A"/>
    <w:rsid w:val="00E55EB2"/>
    <w:rsid w:val="00E60028"/>
    <w:rsid w:val="00E60152"/>
    <w:rsid w:val="00E604EB"/>
    <w:rsid w:val="00E60769"/>
    <w:rsid w:val="00E61580"/>
    <w:rsid w:val="00E62A6B"/>
    <w:rsid w:val="00E62BA9"/>
    <w:rsid w:val="00E63434"/>
    <w:rsid w:val="00E63712"/>
    <w:rsid w:val="00E63A6A"/>
    <w:rsid w:val="00E64403"/>
    <w:rsid w:val="00E64F12"/>
    <w:rsid w:val="00E665F8"/>
    <w:rsid w:val="00E66EF5"/>
    <w:rsid w:val="00E67CEF"/>
    <w:rsid w:val="00E67ED8"/>
    <w:rsid w:val="00E70287"/>
    <w:rsid w:val="00E711C8"/>
    <w:rsid w:val="00E72353"/>
    <w:rsid w:val="00E7333F"/>
    <w:rsid w:val="00E7403D"/>
    <w:rsid w:val="00E75A8A"/>
    <w:rsid w:val="00E75E55"/>
    <w:rsid w:val="00E76291"/>
    <w:rsid w:val="00E76CA1"/>
    <w:rsid w:val="00E77455"/>
    <w:rsid w:val="00E77EF4"/>
    <w:rsid w:val="00E82397"/>
    <w:rsid w:val="00E8295F"/>
    <w:rsid w:val="00E82E43"/>
    <w:rsid w:val="00E8374F"/>
    <w:rsid w:val="00E83BC5"/>
    <w:rsid w:val="00E84297"/>
    <w:rsid w:val="00E8440C"/>
    <w:rsid w:val="00E8448D"/>
    <w:rsid w:val="00E84622"/>
    <w:rsid w:val="00E84988"/>
    <w:rsid w:val="00E84E02"/>
    <w:rsid w:val="00E8692E"/>
    <w:rsid w:val="00E871EF"/>
    <w:rsid w:val="00E879B3"/>
    <w:rsid w:val="00E87A5F"/>
    <w:rsid w:val="00E905B1"/>
    <w:rsid w:val="00E907E0"/>
    <w:rsid w:val="00E90BFA"/>
    <w:rsid w:val="00E916DE"/>
    <w:rsid w:val="00E92094"/>
    <w:rsid w:val="00E9258A"/>
    <w:rsid w:val="00E930B7"/>
    <w:rsid w:val="00E93718"/>
    <w:rsid w:val="00E93854"/>
    <w:rsid w:val="00E93B1A"/>
    <w:rsid w:val="00E953CF"/>
    <w:rsid w:val="00E95A1E"/>
    <w:rsid w:val="00E96AC0"/>
    <w:rsid w:val="00E97759"/>
    <w:rsid w:val="00EA0AD1"/>
    <w:rsid w:val="00EA2254"/>
    <w:rsid w:val="00EA2518"/>
    <w:rsid w:val="00EA3B27"/>
    <w:rsid w:val="00EA47AB"/>
    <w:rsid w:val="00EA5223"/>
    <w:rsid w:val="00EA56E4"/>
    <w:rsid w:val="00EA582A"/>
    <w:rsid w:val="00EA6153"/>
    <w:rsid w:val="00EA6623"/>
    <w:rsid w:val="00EA6A76"/>
    <w:rsid w:val="00EA6C53"/>
    <w:rsid w:val="00EA7526"/>
    <w:rsid w:val="00EB0584"/>
    <w:rsid w:val="00EB0C3A"/>
    <w:rsid w:val="00EB1102"/>
    <w:rsid w:val="00EB1C31"/>
    <w:rsid w:val="00EB1EC2"/>
    <w:rsid w:val="00EB2569"/>
    <w:rsid w:val="00EB281E"/>
    <w:rsid w:val="00EB299D"/>
    <w:rsid w:val="00EB2D1E"/>
    <w:rsid w:val="00EB4012"/>
    <w:rsid w:val="00EB61D4"/>
    <w:rsid w:val="00EB6400"/>
    <w:rsid w:val="00EB6C3B"/>
    <w:rsid w:val="00EB709B"/>
    <w:rsid w:val="00EB7A3B"/>
    <w:rsid w:val="00EC02AC"/>
    <w:rsid w:val="00EC083B"/>
    <w:rsid w:val="00EC0F9A"/>
    <w:rsid w:val="00EC101E"/>
    <w:rsid w:val="00EC149C"/>
    <w:rsid w:val="00EC197F"/>
    <w:rsid w:val="00EC1E7F"/>
    <w:rsid w:val="00EC286E"/>
    <w:rsid w:val="00EC2915"/>
    <w:rsid w:val="00EC390C"/>
    <w:rsid w:val="00EC4100"/>
    <w:rsid w:val="00EC45DF"/>
    <w:rsid w:val="00EC4B51"/>
    <w:rsid w:val="00EC4D5E"/>
    <w:rsid w:val="00EC52A6"/>
    <w:rsid w:val="00EC7027"/>
    <w:rsid w:val="00EC75B2"/>
    <w:rsid w:val="00ED071A"/>
    <w:rsid w:val="00ED1911"/>
    <w:rsid w:val="00ED194F"/>
    <w:rsid w:val="00ED1E8B"/>
    <w:rsid w:val="00ED27EB"/>
    <w:rsid w:val="00ED2958"/>
    <w:rsid w:val="00ED362A"/>
    <w:rsid w:val="00ED4154"/>
    <w:rsid w:val="00ED41D6"/>
    <w:rsid w:val="00ED4751"/>
    <w:rsid w:val="00ED479A"/>
    <w:rsid w:val="00ED640B"/>
    <w:rsid w:val="00ED7079"/>
    <w:rsid w:val="00ED713D"/>
    <w:rsid w:val="00EE04CE"/>
    <w:rsid w:val="00EE0762"/>
    <w:rsid w:val="00EE15CF"/>
    <w:rsid w:val="00EE1BA5"/>
    <w:rsid w:val="00EE203C"/>
    <w:rsid w:val="00EE390A"/>
    <w:rsid w:val="00EE47C4"/>
    <w:rsid w:val="00EE51C9"/>
    <w:rsid w:val="00EE579C"/>
    <w:rsid w:val="00EE57D1"/>
    <w:rsid w:val="00EE6941"/>
    <w:rsid w:val="00EE743C"/>
    <w:rsid w:val="00EE7CA1"/>
    <w:rsid w:val="00EF0944"/>
    <w:rsid w:val="00EF0A77"/>
    <w:rsid w:val="00EF0C7D"/>
    <w:rsid w:val="00EF0D24"/>
    <w:rsid w:val="00EF1825"/>
    <w:rsid w:val="00EF363F"/>
    <w:rsid w:val="00EF3864"/>
    <w:rsid w:val="00EF4449"/>
    <w:rsid w:val="00EF52CF"/>
    <w:rsid w:val="00EF5A75"/>
    <w:rsid w:val="00EF5E71"/>
    <w:rsid w:val="00EF66C6"/>
    <w:rsid w:val="00EF69DE"/>
    <w:rsid w:val="00EF6A6C"/>
    <w:rsid w:val="00EF6CFC"/>
    <w:rsid w:val="00EF71C9"/>
    <w:rsid w:val="00EF7825"/>
    <w:rsid w:val="00EF787F"/>
    <w:rsid w:val="00EF7F58"/>
    <w:rsid w:val="00F0147A"/>
    <w:rsid w:val="00F0184D"/>
    <w:rsid w:val="00F0228C"/>
    <w:rsid w:val="00F0231E"/>
    <w:rsid w:val="00F034CF"/>
    <w:rsid w:val="00F03ACC"/>
    <w:rsid w:val="00F0487D"/>
    <w:rsid w:val="00F053B9"/>
    <w:rsid w:val="00F05CE5"/>
    <w:rsid w:val="00F06130"/>
    <w:rsid w:val="00F068A4"/>
    <w:rsid w:val="00F06BAE"/>
    <w:rsid w:val="00F103B1"/>
    <w:rsid w:val="00F1093E"/>
    <w:rsid w:val="00F11132"/>
    <w:rsid w:val="00F11BB9"/>
    <w:rsid w:val="00F12083"/>
    <w:rsid w:val="00F12609"/>
    <w:rsid w:val="00F1274E"/>
    <w:rsid w:val="00F13726"/>
    <w:rsid w:val="00F13D27"/>
    <w:rsid w:val="00F1414F"/>
    <w:rsid w:val="00F15352"/>
    <w:rsid w:val="00F160D8"/>
    <w:rsid w:val="00F163AB"/>
    <w:rsid w:val="00F16E55"/>
    <w:rsid w:val="00F1770F"/>
    <w:rsid w:val="00F17B07"/>
    <w:rsid w:val="00F20B7D"/>
    <w:rsid w:val="00F20E70"/>
    <w:rsid w:val="00F21627"/>
    <w:rsid w:val="00F21799"/>
    <w:rsid w:val="00F225B7"/>
    <w:rsid w:val="00F229A4"/>
    <w:rsid w:val="00F23ECB"/>
    <w:rsid w:val="00F24AB8"/>
    <w:rsid w:val="00F24DE8"/>
    <w:rsid w:val="00F25180"/>
    <w:rsid w:val="00F25353"/>
    <w:rsid w:val="00F25514"/>
    <w:rsid w:val="00F25796"/>
    <w:rsid w:val="00F25CF7"/>
    <w:rsid w:val="00F25F72"/>
    <w:rsid w:val="00F262C4"/>
    <w:rsid w:val="00F27FA9"/>
    <w:rsid w:val="00F30A70"/>
    <w:rsid w:val="00F31438"/>
    <w:rsid w:val="00F314A2"/>
    <w:rsid w:val="00F31A22"/>
    <w:rsid w:val="00F31B27"/>
    <w:rsid w:val="00F3239E"/>
    <w:rsid w:val="00F323DC"/>
    <w:rsid w:val="00F3272C"/>
    <w:rsid w:val="00F32928"/>
    <w:rsid w:val="00F32B00"/>
    <w:rsid w:val="00F32B71"/>
    <w:rsid w:val="00F3320F"/>
    <w:rsid w:val="00F33531"/>
    <w:rsid w:val="00F339AB"/>
    <w:rsid w:val="00F339FF"/>
    <w:rsid w:val="00F33B08"/>
    <w:rsid w:val="00F35893"/>
    <w:rsid w:val="00F36505"/>
    <w:rsid w:val="00F367AC"/>
    <w:rsid w:val="00F36AAD"/>
    <w:rsid w:val="00F3786F"/>
    <w:rsid w:val="00F37926"/>
    <w:rsid w:val="00F37C49"/>
    <w:rsid w:val="00F4009B"/>
    <w:rsid w:val="00F40526"/>
    <w:rsid w:val="00F4190E"/>
    <w:rsid w:val="00F4206B"/>
    <w:rsid w:val="00F420A1"/>
    <w:rsid w:val="00F42B91"/>
    <w:rsid w:val="00F43461"/>
    <w:rsid w:val="00F444E3"/>
    <w:rsid w:val="00F4509B"/>
    <w:rsid w:val="00F45253"/>
    <w:rsid w:val="00F45D50"/>
    <w:rsid w:val="00F45DBE"/>
    <w:rsid w:val="00F46420"/>
    <w:rsid w:val="00F4684F"/>
    <w:rsid w:val="00F468D6"/>
    <w:rsid w:val="00F46CF0"/>
    <w:rsid w:val="00F47ED7"/>
    <w:rsid w:val="00F505E2"/>
    <w:rsid w:val="00F5172F"/>
    <w:rsid w:val="00F51B7D"/>
    <w:rsid w:val="00F54775"/>
    <w:rsid w:val="00F56BCA"/>
    <w:rsid w:val="00F56C9F"/>
    <w:rsid w:val="00F56D88"/>
    <w:rsid w:val="00F57799"/>
    <w:rsid w:val="00F5795D"/>
    <w:rsid w:val="00F57AB1"/>
    <w:rsid w:val="00F614AA"/>
    <w:rsid w:val="00F6362D"/>
    <w:rsid w:val="00F63A50"/>
    <w:rsid w:val="00F66254"/>
    <w:rsid w:val="00F66D6C"/>
    <w:rsid w:val="00F66D9C"/>
    <w:rsid w:val="00F67248"/>
    <w:rsid w:val="00F675BC"/>
    <w:rsid w:val="00F72450"/>
    <w:rsid w:val="00F73FB9"/>
    <w:rsid w:val="00F7411C"/>
    <w:rsid w:val="00F74386"/>
    <w:rsid w:val="00F7494B"/>
    <w:rsid w:val="00F752F4"/>
    <w:rsid w:val="00F75E43"/>
    <w:rsid w:val="00F76649"/>
    <w:rsid w:val="00F7678D"/>
    <w:rsid w:val="00F76D9E"/>
    <w:rsid w:val="00F77072"/>
    <w:rsid w:val="00F771A0"/>
    <w:rsid w:val="00F77603"/>
    <w:rsid w:val="00F806E4"/>
    <w:rsid w:val="00F815AF"/>
    <w:rsid w:val="00F817C8"/>
    <w:rsid w:val="00F81B49"/>
    <w:rsid w:val="00F82771"/>
    <w:rsid w:val="00F830D7"/>
    <w:rsid w:val="00F8314A"/>
    <w:rsid w:val="00F83C53"/>
    <w:rsid w:val="00F85AE8"/>
    <w:rsid w:val="00F860DC"/>
    <w:rsid w:val="00F869D4"/>
    <w:rsid w:val="00F87844"/>
    <w:rsid w:val="00F87DBF"/>
    <w:rsid w:val="00F90746"/>
    <w:rsid w:val="00F90FFB"/>
    <w:rsid w:val="00F92210"/>
    <w:rsid w:val="00F94BE7"/>
    <w:rsid w:val="00F95695"/>
    <w:rsid w:val="00F9598E"/>
    <w:rsid w:val="00F96FDA"/>
    <w:rsid w:val="00F97124"/>
    <w:rsid w:val="00FA06E8"/>
    <w:rsid w:val="00FA0F8B"/>
    <w:rsid w:val="00FA1039"/>
    <w:rsid w:val="00FA27CB"/>
    <w:rsid w:val="00FA2EB6"/>
    <w:rsid w:val="00FA3D3D"/>
    <w:rsid w:val="00FA58DE"/>
    <w:rsid w:val="00FA64C1"/>
    <w:rsid w:val="00FA6878"/>
    <w:rsid w:val="00FA7755"/>
    <w:rsid w:val="00FA789F"/>
    <w:rsid w:val="00FB123B"/>
    <w:rsid w:val="00FB1FE5"/>
    <w:rsid w:val="00FB3D01"/>
    <w:rsid w:val="00FB4393"/>
    <w:rsid w:val="00FB5712"/>
    <w:rsid w:val="00FB679F"/>
    <w:rsid w:val="00FC088C"/>
    <w:rsid w:val="00FC1352"/>
    <w:rsid w:val="00FC27A1"/>
    <w:rsid w:val="00FC2987"/>
    <w:rsid w:val="00FC2ECA"/>
    <w:rsid w:val="00FC30AF"/>
    <w:rsid w:val="00FC3233"/>
    <w:rsid w:val="00FC465D"/>
    <w:rsid w:val="00FC4741"/>
    <w:rsid w:val="00FC69CD"/>
    <w:rsid w:val="00FC73D9"/>
    <w:rsid w:val="00FC77B9"/>
    <w:rsid w:val="00FD2D61"/>
    <w:rsid w:val="00FD3F85"/>
    <w:rsid w:val="00FD40FA"/>
    <w:rsid w:val="00FD42B1"/>
    <w:rsid w:val="00FD46A5"/>
    <w:rsid w:val="00FD48D0"/>
    <w:rsid w:val="00FD600F"/>
    <w:rsid w:val="00FD7584"/>
    <w:rsid w:val="00FD7D9A"/>
    <w:rsid w:val="00FE1B44"/>
    <w:rsid w:val="00FE20D0"/>
    <w:rsid w:val="00FE3D02"/>
    <w:rsid w:val="00FE3E27"/>
    <w:rsid w:val="00FE4010"/>
    <w:rsid w:val="00FE699A"/>
    <w:rsid w:val="00FE7495"/>
    <w:rsid w:val="00FE794C"/>
    <w:rsid w:val="00FE7984"/>
    <w:rsid w:val="00FF00A0"/>
    <w:rsid w:val="00FF03BE"/>
    <w:rsid w:val="00FF13C4"/>
    <w:rsid w:val="00FF1445"/>
    <w:rsid w:val="00FF1633"/>
    <w:rsid w:val="00FF1945"/>
    <w:rsid w:val="00FF1B92"/>
    <w:rsid w:val="00FF22EA"/>
    <w:rsid w:val="00FF2D23"/>
    <w:rsid w:val="00FF3006"/>
    <w:rsid w:val="00FF31AF"/>
    <w:rsid w:val="00FF4126"/>
    <w:rsid w:val="00FF4242"/>
    <w:rsid w:val="00FF4360"/>
    <w:rsid w:val="00FF443C"/>
    <w:rsid w:val="00FF46D8"/>
    <w:rsid w:val="00FF4D6E"/>
    <w:rsid w:val="00FF5C61"/>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none [3215]" stroke="f">
      <v:fill color="none [3215]"/>
      <v:stroke on="f"/>
    </o:shapedefaults>
    <o:shapelayout v:ext="edit">
      <o:idmap v:ext="edit" data="1"/>
    </o:shapelayout>
  </w:shapeDefaults>
  <w:decimalSymbol w:val="."/>
  <w:listSeparator w:val=","/>
  <w15:docId w15:val="{B3480161-9AC0-48FA-A2DA-AC2B10AF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nhideWhenUsed="1"/>
    <w:lsdException w:name="toc 6" w:locked="0" w:semiHidden="1" w:uiPriority="39" w:unhideWhenUsed="1"/>
    <w:lsdException w:name="toc 7" w:locked="0" w:semiHidden="1" w:uiPriority="39" w:unhideWhenUsed="1"/>
    <w:lsdException w:name="toc 8" w:locked="0" w:semiHidden="1"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qFormat="1"/>
    <w:lsdException w:name="List Number" w:semiHidden="1"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locked="0" w:semiHidden="1"/>
    <w:lsdException w:name="Subtitle" w:locked="0" w:semiHidden="1" w:qFormat="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iPriority="99" w:unhideWhenUsed="1" w:qFormat="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Theme" w:locked="0"/>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Long)"/>
    <w:basedOn w:val="Normal"/>
    <w:next w:val="PwCNormal"/>
    <w:qFormat/>
    <w:rsid w:val="00BC0A43"/>
    <w:pPr>
      <w:spacing w:line="720" w:lineRule="atLeast"/>
      <w:outlineLvl w:val="0"/>
    </w:pPr>
    <w:rPr>
      <w:rFonts w:asciiTheme="majorHAnsi" w:hAnsiTheme="majorHAnsi"/>
      <w:b/>
      <w:bCs/>
      <w:i/>
      <w:sz w:val="56"/>
      <w:szCs w:val="72"/>
    </w:rPr>
  </w:style>
  <w:style w:type="paragraph" w:styleId="Heading2">
    <w:name w:val="heading 2"/>
    <w:aliases w:val="Chapter Heading (Short)"/>
    <w:basedOn w:val="Normal"/>
    <w:next w:val="PwCNormal"/>
    <w:qFormat/>
    <w:rsid w:val="00BE4F03"/>
    <w:pPr>
      <w:keepNext/>
      <w:keepLines/>
      <w:pageBreakBefore/>
      <w:numPr>
        <w:ilvl w:val="1"/>
        <w:numId w:val="30"/>
      </w:numPr>
      <w:spacing w:after="480" w:line="600" w:lineRule="atLeast"/>
      <w:outlineLvl w:val="1"/>
    </w:pPr>
    <w:rPr>
      <w:rFonts w:asciiTheme="majorHAnsi" w:hAnsiTheme="majorHAnsi"/>
      <w:b/>
      <w:bCs/>
      <w:i/>
      <w:iCs/>
      <w:color w:val="000000" w:themeColor="text1"/>
      <w:sz w:val="56"/>
      <w:szCs w:val="36"/>
    </w:rPr>
  </w:style>
  <w:style w:type="paragraph" w:styleId="Heading3">
    <w:name w:val="heading 3"/>
    <w:aliases w:val="Appendix Heading (Long)"/>
    <w:basedOn w:val="Heading1"/>
    <w:next w:val="PwCNormal"/>
    <w:qFormat/>
    <w:rsid w:val="008D4477"/>
    <w:pPr>
      <w:outlineLvl w:val="2"/>
    </w:pPr>
    <w:rPr>
      <w:bCs w:val="0"/>
    </w:rPr>
  </w:style>
  <w:style w:type="paragraph" w:styleId="Heading4">
    <w:name w:val="heading 4"/>
    <w:aliases w:val="Appendix Heading (Short)"/>
    <w:basedOn w:val="Heading2"/>
    <w:next w:val="PwCNormal"/>
    <w:qFormat/>
    <w:rsid w:val="00AE506B"/>
    <w:pPr>
      <w:pageBreakBefore w:val="0"/>
      <w:numPr>
        <w:ilvl w:val="4"/>
      </w:numPr>
      <w:outlineLvl w:val="3"/>
    </w:pPr>
    <w:rPr>
      <w:bCs w:val="0"/>
    </w:rPr>
  </w:style>
  <w:style w:type="paragraph" w:styleId="Heading5">
    <w:name w:val="heading 5"/>
    <w:basedOn w:val="Heading2"/>
    <w:next w:val="PwCNormal"/>
    <w:qFormat/>
    <w:rsid w:val="00317710"/>
    <w:pPr>
      <w:pageBreakBefore w:val="0"/>
      <w:numPr>
        <w:ilvl w:val="0"/>
        <w:numId w:val="0"/>
      </w:numPr>
      <w:spacing w:before="360" w:line="380" w:lineRule="atLeast"/>
      <w:outlineLvl w:val="4"/>
    </w:pPr>
    <w:rPr>
      <w:bCs w:val="0"/>
      <w:iCs w:val="0"/>
      <w:sz w:val="32"/>
      <w:szCs w:val="32"/>
    </w:rPr>
  </w:style>
  <w:style w:type="paragraph" w:styleId="Heading6">
    <w:name w:val="heading 6"/>
    <w:basedOn w:val="Heading2"/>
    <w:next w:val="PwCNormal"/>
    <w:qFormat/>
    <w:rsid w:val="00BC0A43"/>
    <w:pPr>
      <w:pageBreakBefore w:val="0"/>
      <w:numPr>
        <w:ilvl w:val="2"/>
      </w:numPr>
      <w:spacing w:after="40" w:line="240" w:lineRule="auto"/>
      <w:outlineLvl w:val="5"/>
    </w:pPr>
    <w:rPr>
      <w:bCs w:val="0"/>
      <w:color w:val="A32020" w:themeColor="text2"/>
      <w:sz w:val="32"/>
    </w:rPr>
  </w:style>
  <w:style w:type="paragraph" w:styleId="Heading7">
    <w:name w:val="heading 7"/>
    <w:basedOn w:val="Heading6"/>
    <w:next w:val="PwCNormal"/>
    <w:qFormat/>
    <w:rsid w:val="005C6E53"/>
    <w:pPr>
      <w:numPr>
        <w:ilvl w:val="3"/>
      </w:numPr>
      <w:outlineLvl w:val="6"/>
    </w:pPr>
    <w:rPr>
      <w:b w:val="0"/>
      <w:sz w:val="28"/>
      <w:szCs w:val="28"/>
    </w:rPr>
  </w:style>
  <w:style w:type="paragraph" w:styleId="Heading8">
    <w:name w:val="heading 8"/>
    <w:basedOn w:val="Majorheading"/>
    <w:next w:val="PwCNormal"/>
    <w:qFormat/>
    <w:rsid w:val="00BE4F03"/>
    <w:pPr>
      <w:numPr>
        <w:ilvl w:val="6"/>
        <w:numId w:val="30"/>
      </w:numPr>
      <w:outlineLvl w:val="7"/>
    </w:pPr>
    <w:rPr>
      <w:sz w:val="32"/>
      <w:szCs w:val="21"/>
    </w:rPr>
  </w:style>
  <w:style w:type="paragraph" w:styleId="Heading9">
    <w:name w:val="heading 9"/>
    <w:basedOn w:val="Heading8"/>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6A6"/>
    <w:pPr>
      <w:tabs>
        <w:tab w:val="right" w:pos="8220"/>
      </w:tabs>
    </w:pPr>
    <w:rPr>
      <w:rFonts w:ascii="Arial" w:hAnsi="Arial"/>
      <w:color w:val="000000" w:themeColor="text1"/>
      <w:sz w:val="19"/>
      <w:szCs w:val="18"/>
    </w:rPr>
  </w:style>
  <w:style w:type="paragraph" w:styleId="Footer">
    <w:name w:val="footer"/>
    <w:basedOn w:val="Normal"/>
    <w:link w:val="FooterChar"/>
    <w:rsid w:val="00B376A6"/>
    <w:pPr>
      <w:tabs>
        <w:tab w:val="right" w:pos="822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title">
    <w:name w:val="Cover title"/>
    <w:basedOn w:val="KeySentenceInside"/>
    <w:next w:val="Coversubtitle"/>
    <w:rsid w:val="00F323DC"/>
    <w:pPr>
      <w:framePr w:w="2154" w:wrap="notBeside" w:vAnchor="page" w:hAnchor="page" w:x="928" w:y="8427"/>
      <w:spacing w:before="20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BE4F03"/>
    <w:pPr>
      <w:keepNext/>
      <w:keepLines/>
      <w:pageBreakBefore/>
      <w:numPr>
        <w:ilvl w:val="5"/>
        <w:numId w:val="30"/>
      </w:numPr>
    </w:pPr>
    <w:rPr>
      <w:color w:val="000000" w:themeColor="text1"/>
    </w:rPr>
  </w:style>
  <w:style w:type="paragraph" w:customStyle="1" w:styleId="ChapterNumberLong">
    <w:name w:val="Chapter Number (Long)"/>
    <w:basedOn w:val="Heading1"/>
    <w:next w:val="Heading1"/>
    <w:rsid w:val="00BE4F03"/>
    <w:pPr>
      <w:pageBreakBefore/>
      <w:numPr>
        <w:numId w:val="30"/>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A32020" w:themeColor="text2"/>
      <w:sz w:val="36"/>
    </w:rPr>
  </w:style>
  <w:style w:type="paragraph" w:customStyle="1" w:styleId="Indent1">
    <w:name w:val="Indent 1"/>
    <w:basedOn w:val="Normal"/>
    <w:qFormat/>
    <w:rsid w:val="006C1EC2"/>
    <w:pPr>
      <w:numPr>
        <w:ilvl w:val="1"/>
        <w:numId w:val="9"/>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483E95"/>
    <w:pPr>
      <w:framePr w:w="7938" w:wrap="around" w:vAnchor="page" w:hAnchor="page" w:x="1022" w:y="1519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8D4477"/>
    <w:pPr>
      <w:numPr>
        <w:numId w:val="0"/>
      </w:numPr>
      <w:tabs>
        <w:tab w:val="left" w:pos="567"/>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BE4F03"/>
    <w:pPr>
      <w:numPr>
        <w:ilvl w:val="7"/>
        <w:numId w:val="30"/>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aliases w:val="n"/>
    <w:basedOn w:val="Normal"/>
    <w:link w:val="PwCNormalChar"/>
    <w:qFormat/>
    <w:rsid w:val="00ED479A"/>
    <w:pPr>
      <w:spacing w:after="24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aliases w:val="n Char"/>
    <w:basedOn w:val="DefaultParagraphFont"/>
    <w:link w:val="PwCNormal"/>
    <w:rsid w:val="00ED479A"/>
    <w:rPr>
      <w:rFonts w:cs="Arial"/>
      <w:snapToGrid w:val="0"/>
      <w:lang w:eastAsia="en-US"/>
    </w:rPr>
  </w:style>
  <w:style w:type="paragraph" w:styleId="TOC1">
    <w:name w:val="toc 1"/>
    <w:basedOn w:val="Normal"/>
    <w:next w:val="PwCNormal"/>
    <w:uiPriority w:val="39"/>
    <w:rsid w:val="001D29AE"/>
    <w:pPr>
      <w:numPr>
        <w:numId w:val="24"/>
      </w:numPr>
      <w:tabs>
        <w:tab w:val="left" w:pos="567"/>
        <w:tab w:val="right" w:pos="8220"/>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8220"/>
        <w:tab w:val="right" w:pos="14797"/>
      </w:tabs>
    </w:pPr>
  </w:style>
  <w:style w:type="paragraph" w:customStyle="1" w:styleId="TableBullet1Normal">
    <w:name w:val="Table Bullet 1 Normal"/>
    <w:basedOn w:val="TableTextNormal"/>
    <w:link w:val="TableBullet1NormalCharChar"/>
    <w:rsid w:val="00317710"/>
    <w:pPr>
      <w:numPr>
        <w:numId w:val="6"/>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keepNext/>
      <w:keepLines/>
      <w:numPr>
        <w:numId w:val="12"/>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pPr>
      <w:numPr>
        <w:numId w:val="4"/>
      </w:numPr>
    </w:pPr>
  </w:style>
  <w:style w:type="paragraph" w:customStyle="1" w:styleId="Disclaimer">
    <w:name w:val="Disclaimer"/>
    <w:basedOn w:val="Normal"/>
    <w:unhideWhenUsed/>
    <w:rsid w:val="000377D1"/>
    <w:pPr>
      <w:spacing w:after="140"/>
    </w:pPr>
    <w:rPr>
      <w:rFonts w:ascii="Arial" w:hAnsi="Arial"/>
      <w:sz w:val="16"/>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aliases w:val="(NECG) Footnote Text"/>
    <w:basedOn w:val="Normal"/>
    <w:link w:val="FootnoteTextChar"/>
    <w:rsid w:val="005F07CE"/>
    <w:pPr>
      <w:tabs>
        <w:tab w:val="left" w:pos="284"/>
      </w:tabs>
      <w:spacing w:before="80" w:after="80"/>
      <w:ind w:left="227" w:hanging="227"/>
    </w:pPr>
    <w:rPr>
      <w:sz w:val="14"/>
    </w:rPr>
  </w:style>
  <w:style w:type="character" w:styleId="FootnoteReference">
    <w:name w:val="footnote reference"/>
    <w:aliases w:val="(NECG) Footnote Reference"/>
    <w:basedOn w:val="DefaultParagraphFont"/>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link w:val="AddressChar"/>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semiHidden/>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qFormat/>
    <w:locked/>
    <w:rsid w:val="00CC25DA"/>
    <w:pPr>
      <w:numPr>
        <w:ilvl w:val="1"/>
        <w:numId w:val="5"/>
      </w:numPr>
      <w:spacing w:before="0" w:after="240"/>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B376A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qFormat/>
    <w:locked/>
    <w:rsid w:val="007D1C0E"/>
    <w:pPr>
      <w:spacing w:after="120"/>
    </w:pPr>
  </w:style>
  <w:style w:type="character" w:customStyle="1" w:styleId="BodyTextChar">
    <w:name w:val="Body Text Char"/>
    <w:basedOn w:val="DefaultParagraphFont"/>
    <w:link w:val="BodyText"/>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0000FF"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basedOn w:val="Normal"/>
    <w:qFormat/>
    <w:locked/>
    <w:rsid w:val="00805111"/>
    <w:pPr>
      <w:numPr>
        <w:numId w:val="5"/>
      </w:numPr>
      <w:spacing w:before="240" w:after="240"/>
    </w:pPr>
  </w:style>
  <w:style w:type="paragraph" w:styleId="ListBullet5">
    <w:name w:val="List Bullet 5"/>
    <w:basedOn w:val="ListBullet4"/>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uiPriority w:val="34"/>
    <w:semiHidden/>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1A48C1"/>
    <w:pPr>
      <w:framePr w:w="8334"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270144"/>
    <w:rPr>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617CBF"/>
    <w:pPr>
      <w:spacing w:after="0" w:line="960" w:lineRule="atLeast"/>
      <w:ind w:right="1701"/>
    </w:pPr>
    <w:rPr>
      <w:b/>
      <w:i/>
      <w:color w:val="FFFFFF" w:themeColor="background1"/>
      <w:sz w:val="88"/>
      <w:szCs w:val="88"/>
      <w:lang w:val="en-GB"/>
    </w:rPr>
  </w:style>
  <w:style w:type="paragraph" w:customStyle="1" w:styleId="CoverOutcomeSubtitle">
    <w:name w:val="Cover Outcome Subtitle"/>
    <w:basedOn w:val="CoverOutcomeHeadline"/>
    <w:rsid w:val="00A93A63"/>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BE4F03"/>
    <w:pPr>
      <w:numPr>
        <w:numId w:val="28"/>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BE4F03"/>
    <w:pPr>
      <w:numPr>
        <w:numId w:val="23"/>
      </w:numPr>
    </w:pPr>
  </w:style>
  <w:style w:type="paragraph" w:customStyle="1" w:styleId="FirstPagePanelFrame-Contents">
    <w:name w:val="First Page Panel Frame - Contents"/>
    <w:basedOn w:val="FirstPagePanelFrame"/>
    <w:rsid w:val="001A48C1"/>
    <w:pPr>
      <w:framePr w:wrap="notBeside"/>
    </w:pPr>
  </w:style>
  <w:style w:type="numbering" w:customStyle="1" w:styleId="ChapterNumberingList">
    <w:name w:val="Chapter Numbering List"/>
    <w:uiPriority w:val="99"/>
    <w:rsid w:val="00BE4F03"/>
    <w:pPr>
      <w:numPr>
        <w:numId w:val="25"/>
      </w:numPr>
    </w:pPr>
  </w:style>
  <w:style w:type="paragraph" w:customStyle="1" w:styleId="StylePwCNormalnmajNormalnotetextcvteCNormalnotetext1">
    <w:name w:val="Style PwC NormalnmajNormalnote(text)cv teC Normalnote(text) + ...1"/>
    <w:basedOn w:val="Normal"/>
    <w:rsid w:val="008561EE"/>
    <w:pPr>
      <w:tabs>
        <w:tab w:val="num" w:pos="0"/>
      </w:tabs>
      <w:spacing w:before="120" w:after="120"/>
    </w:pPr>
    <w:rPr>
      <w:rFonts w:cs="Times New Roman"/>
    </w:rPr>
  </w:style>
  <w:style w:type="character" w:customStyle="1" w:styleId="AddressChar">
    <w:name w:val="Address Char"/>
    <w:basedOn w:val="DefaultParagraphFont"/>
    <w:link w:val="Address"/>
    <w:rsid w:val="00ED071A"/>
    <w:rPr>
      <w:rFonts w:eastAsiaTheme="minorHAnsi" w:cstheme="minorBidi"/>
      <w:i/>
      <w:noProof/>
      <w:sz w:val="18"/>
      <w:szCs w:val="22"/>
      <w:lang w:val="en-GB" w:eastAsia="en-GB"/>
    </w:rPr>
  </w:style>
  <w:style w:type="paragraph" w:styleId="Revision">
    <w:name w:val="Revision"/>
    <w:hidden/>
    <w:uiPriority w:val="99"/>
    <w:semiHidden/>
    <w:rsid w:val="0070125F"/>
    <w:rPr>
      <w:rFonts w:cs="Arial"/>
      <w:snapToGrid w:val="0"/>
      <w:lang w:eastAsia="en-US"/>
    </w:rPr>
  </w:style>
  <w:style w:type="character" w:customStyle="1" w:styleId="TableBullet1NormalCharChar">
    <w:name w:val="Table Bullet 1 Normal Char Char"/>
    <w:basedOn w:val="DefaultParagraphFont"/>
    <w:link w:val="TableBullet1Normal"/>
    <w:rsid w:val="00CC07FA"/>
    <w:rPr>
      <w:rFonts w:cs="Arial"/>
      <w:snapToGrid w:val="0"/>
      <w:lang w:eastAsia="en-US"/>
    </w:rPr>
  </w:style>
  <w:style w:type="paragraph" w:customStyle="1" w:styleId="BodySingle">
    <w:name w:val="Body Single"/>
    <w:basedOn w:val="BodyText"/>
    <w:link w:val="BodySingleChar"/>
    <w:uiPriority w:val="1"/>
    <w:qFormat/>
    <w:rsid w:val="00DC4F9E"/>
    <w:pPr>
      <w:kinsoku/>
      <w:overflowPunct/>
      <w:autoSpaceDE/>
      <w:autoSpaceDN/>
      <w:adjustRightInd/>
      <w:snapToGrid/>
      <w:spacing w:after="0" w:line="240" w:lineRule="atLeast"/>
    </w:pPr>
    <w:rPr>
      <w:rFonts w:asciiTheme="minorHAnsi" w:eastAsiaTheme="minorHAnsi" w:hAnsiTheme="minorHAnsi" w:cstheme="minorBidi"/>
      <w:snapToGrid/>
      <w:lang w:val="en-GB"/>
    </w:rPr>
  </w:style>
  <w:style w:type="character" w:customStyle="1" w:styleId="BodySingleChar">
    <w:name w:val="Body Single Char"/>
    <w:basedOn w:val="BodyTextChar"/>
    <w:link w:val="BodySingle"/>
    <w:uiPriority w:val="1"/>
    <w:rsid w:val="00DC4F9E"/>
    <w:rPr>
      <w:rFonts w:asciiTheme="minorHAnsi" w:eastAsiaTheme="minorHAnsi" w:hAnsiTheme="minorHAnsi" w:cstheme="minorBidi"/>
      <w:snapToGrid/>
      <w:sz w:val="20"/>
      <w:lang w:val="en-GB" w:eastAsia="en-US"/>
    </w:rPr>
  </w:style>
  <w:style w:type="table" w:customStyle="1" w:styleId="PwCTableText">
    <w:name w:val="PwC Table Text"/>
    <w:basedOn w:val="TableNormal"/>
    <w:uiPriority w:val="99"/>
    <w:qFormat/>
    <w:rsid w:val="00DC4F9E"/>
    <w:pPr>
      <w:spacing w:before="60" w:after="60"/>
    </w:pPr>
    <w:rPr>
      <w:rFonts w:eastAsiaTheme="minorHAnsi" w:cstheme="minorBidi"/>
      <w:lang w:val="en-GB" w:eastAsia="en-US"/>
    </w:rPr>
    <w:tblPr>
      <w:tblStyleRowBandSize w:val="1"/>
      <w:tblBorders>
        <w:insideH w:val="dotted" w:sz="4" w:space="0" w:color="A32020" w:themeColor="text2"/>
      </w:tblBorders>
    </w:tblPr>
    <w:tblStylePr w:type="firstRow">
      <w:rPr>
        <w:b/>
      </w:rPr>
      <w:tblPr/>
      <w:tcPr>
        <w:tcBorders>
          <w:top w:val="single" w:sz="6" w:space="0" w:color="A32020" w:themeColor="text2"/>
          <w:bottom w:val="single" w:sz="6" w:space="0" w:color="A32020" w:themeColor="text2"/>
        </w:tcBorders>
      </w:tcPr>
    </w:tblStylePr>
    <w:tblStylePr w:type="lastRow">
      <w:rPr>
        <w:b/>
      </w:rPr>
      <w:tblPr/>
      <w:tcPr>
        <w:tcBorders>
          <w:top w:val="single" w:sz="6" w:space="0" w:color="A32020" w:themeColor="text2"/>
          <w:bottom w:val="single" w:sz="6" w:space="0" w:color="A32020" w:themeColor="text2"/>
        </w:tcBorders>
      </w:tcPr>
    </w:tblStylePr>
    <w:tblStylePr w:type="band1Horz">
      <w:tblPr/>
      <w:tcPr>
        <w:tcBorders>
          <w:bottom w:val="nil"/>
        </w:tcBorders>
      </w:tcPr>
    </w:tblStylePr>
  </w:style>
  <w:style w:type="character" w:customStyle="1" w:styleId="FootnoteTextChar">
    <w:name w:val="Footnote Text Char"/>
    <w:aliases w:val="(NECG) Footnote Text Char"/>
    <w:basedOn w:val="DefaultParagraphFont"/>
    <w:link w:val="FootnoteText"/>
    <w:rsid w:val="003D6364"/>
    <w:rPr>
      <w:rFonts w:cs="Arial"/>
      <w:snapToGrid w:val="0"/>
      <w:sz w:val="14"/>
      <w:lang w:eastAsia="en-US"/>
    </w:rPr>
  </w:style>
  <w:style w:type="paragraph" w:styleId="NormalWeb">
    <w:name w:val="Normal (Web)"/>
    <w:basedOn w:val="Normal"/>
    <w:uiPriority w:val="99"/>
    <w:semiHidden/>
    <w:unhideWhenUsed/>
    <w:rsid w:val="00442265"/>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character" w:customStyle="1" w:styleId="apple-converted-space">
    <w:name w:val="apple-converted-space"/>
    <w:basedOn w:val="DefaultParagraphFont"/>
    <w:rsid w:val="00055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4443">
      <w:bodyDiv w:val="1"/>
      <w:marLeft w:val="0"/>
      <w:marRight w:val="0"/>
      <w:marTop w:val="0"/>
      <w:marBottom w:val="0"/>
      <w:divBdr>
        <w:top w:val="none" w:sz="0" w:space="0" w:color="auto"/>
        <w:left w:val="none" w:sz="0" w:space="0" w:color="auto"/>
        <w:bottom w:val="none" w:sz="0" w:space="0" w:color="auto"/>
        <w:right w:val="none" w:sz="0" w:space="0" w:color="auto"/>
      </w:divBdr>
    </w:div>
    <w:div w:id="223029329">
      <w:bodyDiv w:val="1"/>
      <w:marLeft w:val="0"/>
      <w:marRight w:val="0"/>
      <w:marTop w:val="0"/>
      <w:marBottom w:val="0"/>
      <w:divBdr>
        <w:top w:val="none" w:sz="0" w:space="0" w:color="auto"/>
        <w:left w:val="none" w:sz="0" w:space="0" w:color="auto"/>
        <w:bottom w:val="none" w:sz="0" w:space="0" w:color="auto"/>
        <w:right w:val="none" w:sz="0" w:space="0" w:color="auto"/>
      </w:divBdr>
    </w:div>
    <w:div w:id="381096516">
      <w:bodyDiv w:val="1"/>
      <w:marLeft w:val="0"/>
      <w:marRight w:val="0"/>
      <w:marTop w:val="0"/>
      <w:marBottom w:val="0"/>
      <w:divBdr>
        <w:top w:val="none" w:sz="0" w:space="0" w:color="auto"/>
        <w:left w:val="none" w:sz="0" w:space="0" w:color="auto"/>
        <w:bottom w:val="none" w:sz="0" w:space="0" w:color="auto"/>
        <w:right w:val="none" w:sz="0" w:space="0" w:color="auto"/>
      </w:divBdr>
    </w:div>
    <w:div w:id="404183320">
      <w:bodyDiv w:val="1"/>
      <w:marLeft w:val="0"/>
      <w:marRight w:val="0"/>
      <w:marTop w:val="0"/>
      <w:marBottom w:val="0"/>
      <w:divBdr>
        <w:top w:val="none" w:sz="0" w:space="0" w:color="auto"/>
        <w:left w:val="none" w:sz="0" w:space="0" w:color="auto"/>
        <w:bottom w:val="none" w:sz="0" w:space="0" w:color="auto"/>
        <w:right w:val="none" w:sz="0" w:space="0" w:color="auto"/>
      </w:divBdr>
    </w:div>
    <w:div w:id="815538263">
      <w:bodyDiv w:val="1"/>
      <w:marLeft w:val="0"/>
      <w:marRight w:val="0"/>
      <w:marTop w:val="0"/>
      <w:marBottom w:val="0"/>
      <w:divBdr>
        <w:top w:val="none" w:sz="0" w:space="0" w:color="auto"/>
        <w:left w:val="none" w:sz="0" w:space="0" w:color="auto"/>
        <w:bottom w:val="none" w:sz="0" w:space="0" w:color="auto"/>
        <w:right w:val="none" w:sz="0" w:space="0" w:color="auto"/>
      </w:divBdr>
    </w:div>
    <w:div w:id="825903096">
      <w:bodyDiv w:val="1"/>
      <w:marLeft w:val="0"/>
      <w:marRight w:val="0"/>
      <w:marTop w:val="0"/>
      <w:marBottom w:val="0"/>
      <w:divBdr>
        <w:top w:val="none" w:sz="0" w:space="0" w:color="auto"/>
        <w:left w:val="none" w:sz="0" w:space="0" w:color="auto"/>
        <w:bottom w:val="none" w:sz="0" w:space="0" w:color="auto"/>
        <w:right w:val="none" w:sz="0" w:space="0" w:color="auto"/>
      </w:divBdr>
    </w:div>
    <w:div w:id="865824941">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99168833">
      <w:bodyDiv w:val="1"/>
      <w:marLeft w:val="0"/>
      <w:marRight w:val="0"/>
      <w:marTop w:val="0"/>
      <w:marBottom w:val="0"/>
      <w:divBdr>
        <w:top w:val="none" w:sz="0" w:space="0" w:color="auto"/>
        <w:left w:val="none" w:sz="0" w:space="0" w:color="auto"/>
        <w:bottom w:val="none" w:sz="0" w:space="0" w:color="auto"/>
        <w:right w:val="none" w:sz="0" w:space="0" w:color="auto"/>
      </w:divBdr>
    </w:div>
    <w:div w:id="1253125834">
      <w:bodyDiv w:val="1"/>
      <w:marLeft w:val="0"/>
      <w:marRight w:val="0"/>
      <w:marTop w:val="0"/>
      <w:marBottom w:val="0"/>
      <w:divBdr>
        <w:top w:val="none" w:sz="0" w:space="0" w:color="auto"/>
        <w:left w:val="none" w:sz="0" w:space="0" w:color="auto"/>
        <w:bottom w:val="none" w:sz="0" w:space="0" w:color="auto"/>
        <w:right w:val="none" w:sz="0" w:space="0" w:color="auto"/>
      </w:divBdr>
    </w:div>
    <w:div w:id="1282492877">
      <w:bodyDiv w:val="1"/>
      <w:marLeft w:val="0"/>
      <w:marRight w:val="0"/>
      <w:marTop w:val="0"/>
      <w:marBottom w:val="0"/>
      <w:divBdr>
        <w:top w:val="none" w:sz="0" w:space="0" w:color="auto"/>
        <w:left w:val="none" w:sz="0" w:space="0" w:color="auto"/>
        <w:bottom w:val="none" w:sz="0" w:space="0" w:color="auto"/>
        <w:right w:val="none" w:sz="0" w:space="0" w:color="auto"/>
      </w:divBdr>
    </w:div>
    <w:div w:id="1749497706">
      <w:bodyDiv w:val="1"/>
      <w:marLeft w:val="0"/>
      <w:marRight w:val="0"/>
      <w:marTop w:val="0"/>
      <w:marBottom w:val="0"/>
      <w:divBdr>
        <w:top w:val="none" w:sz="0" w:space="0" w:color="auto"/>
        <w:left w:val="none" w:sz="0" w:space="0" w:color="auto"/>
        <w:bottom w:val="none" w:sz="0" w:space="0" w:color="auto"/>
        <w:right w:val="none" w:sz="0" w:space="0" w:color="auto"/>
      </w:divBdr>
    </w:div>
    <w:div w:id="1852793779">
      <w:bodyDiv w:val="1"/>
      <w:marLeft w:val="0"/>
      <w:marRight w:val="0"/>
      <w:marTop w:val="0"/>
      <w:marBottom w:val="0"/>
      <w:divBdr>
        <w:top w:val="none" w:sz="0" w:space="0" w:color="auto"/>
        <w:left w:val="none" w:sz="0" w:space="0" w:color="auto"/>
        <w:bottom w:val="none" w:sz="0" w:space="0" w:color="auto"/>
        <w:right w:val="none" w:sz="0" w:space="0" w:color="auto"/>
      </w:divBdr>
    </w:div>
    <w:div w:id="1868180113">
      <w:bodyDiv w:val="1"/>
      <w:marLeft w:val="0"/>
      <w:marRight w:val="0"/>
      <w:marTop w:val="0"/>
      <w:marBottom w:val="0"/>
      <w:divBdr>
        <w:top w:val="none" w:sz="0" w:space="0" w:color="auto"/>
        <w:left w:val="none" w:sz="0" w:space="0" w:color="auto"/>
        <w:bottom w:val="none" w:sz="0" w:space="0" w:color="auto"/>
        <w:right w:val="none" w:sz="0" w:space="0" w:color="auto"/>
      </w:divBdr>
    </w:div>
    <w:div w:id="1960137611">
      <w:bodyDiv w:val="1"/>
      <w:marLeft w:val="0"/>
      <w:marRight w:val="0"/>
      <w:marTop w:val="0"/>
      <w:marBottom w:val="0"/>
      <w:divBdr>
        <w:top w:val="none" w:sz="0" w:space="0" w:color="auto"/>
        <w:left w:val="none" w:sz="0" w:space="0" w:color="auto"/>
        <w:bottom w:val="none" w:sz="0" w:space="0" w:color="auto"/>
        <w:right w:val="none" w:sz="0" w:space="0" w:color="auto"/>
      </w:divBdr>
    </w:div>
    <w:div w:id="2018999147">
      <w:bodyDiv w:val="1"/>
      <w:marLeft w:val="0"/>
      <w:marRight w:val="0"/>
      <w:marTop w:val="0"/>
      <w:marBottom w:val="0"/>
      <w:divBdr>
        <w:top w:val="none" w:sz="0" w:space="0" w:color="auto"/>
        <w:left w:val="none" w:sz="0" w:space="0" w:color="auto"/>
        <w:bottom w:val="none" w:sz="0" w:space="0" w:color="auto"/>
        <w:right w:val="none" w:sz="0" w:space="0" w:color="auto"/>
      </w:divBdr>
    </w:div>
    <w:div w:id="2117630294">
      <w:bodyDiv w:val="1"/>
      <w:marLeft w:val="0"/>
      <w:marRight w:val="0"/>
      <w:marTop w:val="0"/>
      <w:marBottom w:val="0"/>
      <w:divBdr>
        <w:top w:val="none" w:sz="0" w:space="0" w:color="auto"/>
        <w:left w:val="none" w:sz="0" w:space="0" w:color="auto"/>
        <w:bottom w:val="none" w:sz="0" w:space="0" w:color="auto"/>
        <w:right w:val="none" w:sz="0" w:space="0" w:color="auto"/>
      </w:divBdr>
    </w:div>
    <w:div w:id="213216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header" Target="header14.xml"/><Relationship Id="rId89" Type="http://schemas.openxmlformats.org/officeDocument/2006/relationships/header" Target="header16.xml"/><Relationship Id="rId9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2.xml"/><Relationship Id="rId11" Type="http://schemas.openxmlformats.org/officeDocument/2006/relationships/image" Target="media/image2.emf"/><Relationship Id="rId24" Type="http://schemas.openxmlformats.org/officeDocument/2006/relationships/footer" Target="footer6.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header" Target="header17.xml"/><Relationship Id="rId95" Type="http://schemas.openxmlformats.org/officeDocument/2006/relationships/header" Target="header20.xml"/><Relationship Id="rId19" Type="http://schemas.openxmlformats.org/officeDocument/2006/relationships/header" Target="header7.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oter" Target="footer10.xml"/><Relationship Id="rId93" Type="http://schemas.openxmlformats.org/officeDocument/2006/relationships/image" Target="media/image56.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8.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eader" Target="header13.xml"/><Relationship Id="rId88" Type="http://schemas.openxmlformats.org/officeDocument/2006/relationships/footer" Target="footer12.xml"/><Relationship Id="rId91" Type="http://schemas.openxmlformats.org/officeDocument/2006/relationships/header" Target="header18.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eader" Target="header3.xml"/><Relationship Id="rId31" Type="http://schemas.openxmlformats.org/officeDocument/2006/relationships/image" Target="media/image3.emf"/><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oter" Target="footer11.xml"/><Relationship Id="rId94" Type="http://schemas.openxmlformats.org/officeDocument/2006/relationships/header" Target="header19.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www.abs.gov.au/ausstats/abs@.nsf/Latestproducts/05773C1D8C9F2022CA257A98001399F7?opendocument" TargetMode="External"/><Relationship Id="rId3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A%20Yu\AppData\Roaming\Microsoft\Templates\PwCWL_Report%20Georgia.dotm" TargetMode="External"/></Relationship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968C6D"/>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9488-4A90-494F-BBE2-5EEDAA63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Georgia.dotm</Template>
  <TotalTime>0</TotalTime>
  <Pages>6</Pages>
  <Words>29944</Words>
  <Characters>170684</Characters>
  <Application>Microsoft Office Word</Application>
  <DocSecurity>8</DocSecurity>
  <Lines>1422</Lines>
  <Paragraphs>400</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200228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PwC Report</dc:title>
  <dc:creator>Drew Butterworth</dc:creator>
  <cp:lastModifiedBy>Christine Young (DEDJTR)</cp:lastModifiedBy>
  <cp:revision>2</cp:revision>
  <cp:lastPrinted>2016-05-16T23:12:00Z</cp:lastPrinted>
  <dcterms:created xsi:type="dcterms:W3CDTF">2019-04-18T05:48:00Z</dcterms:created>
  <dcterms:modified xsi:type="dcterms:W3CDTF">2019-04-18T05:48:00Z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2</vt:i4>
  </property>
  <property fmtid="{D5CDD505-2E9C-101B-9397-08002B2CF9AE}" pid="6" name="Appendix format">
    <vt:lpwstr>SHORT</vt:lpwstr>
  </property>
  <property fmtid="{D5CDD505-2E9C-101B-9397-08002B2CF9AE}" pid="7" name="Appendix number">
    <vt:i4>19</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N1A</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true</vt:bool>
  </property>
  <property fmtid="{D5CDD505-2E9C-101B-9397-08002B2CF9AE}" pid="21" name="Version">
    <vt:lpwstr>2015_04_14</vt:lpwstr>
  </property>
  <property fmtid="{D5CDD505-2E9C-101B-9397-08002B2CF9AE}" pid="22" name="AP report or proposal">
    <vt:bool>true</vt:bool>
  </property>
  <property fmtid="{D5CDD505-2E9C-101B-9397-08002B2CF9AE}" pid="23" name="VersionNo">
    <vt:lpwstr>9.2</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ies>
</file>